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EA" w:rsidRPr="00DF43EA" w:rsidRDefault="00E25E65" w:rsidP="00DF43EA">
      <w:pPr>
        <w:jc w:val="center"/>
        <w:rPr>
          <w:i/>
          <w:lang w:val="en-US"/>
        </w:rPr>
      </w:pPr>
      <w:r>
        <w:rPr>
          <w:rFonts w:ascii="Arial" w:hAnsi="Arial" w:cs="Arial"/>
          <w:b/>
          <w:sz w:val="48"/>
          <w:szCs w:val="48"/>
          <w:lang w:val="en-US"/>
        </w:rPr>
        <w:t>Developing N</w:t>
      </w:r>
      <w:r w:rsidR="00B177E1" w:rsidRPr="007A2285">
        <w:rPr>
          <w:rFonts w:ascii="Arial" w:hAnsi="Arial" w:cs="Arial"/>
          <w:b/>
          <w:sz w:val="48"/>
          <w:szCs w:val="48"/>
          <w:lang w:val="en-US"/>
        </w:rPr>
        <w:t xml:space="preserve">ew </w:t>
      </w:r>
      <w:r>
        <w:rPr>
          <w:rFonts w:ascii="Arial" w:hAnsi="Arial" w:cs="Arial"/>
          <w:b/>
          <w:sz w:val="48"/>
          <w:szCs w:val="48"/>
          <w:lang w:val="en-US"/>
        </w:rPr>
        <w:t>S</w:t>
      </w:r>
      <w:r w:rsidR="00B177E1" w:rsidRPr="007A2285">
        <w:rPr>
          <w:rFonts w:ascii="Arial" w:hAnsi="Arial" w:cs="Arial"/>
          <w:b/>
          <w:sz w:val="48"/>
          <w:szCs w:val="48"/>
          <w:lang w:val="en-US"/>
        </w:rPr>
        <w:t xml:space="preserve">tatistics </w:t>
      </w:r>
      <w:r>
        <w:rPr>
          <w:rFonts w:ascii="Arial" w:hAnsi="Arial" w:cs="Arial"/>
          <w:b/>
          <w:sz w:val="48"/>
          <w:szCs w:val="48"/>
          <w:lang w:val="en-US"/>
        </w:rPr>
        <w:t>D</w:t>
      </w:r>
      <w:r w:rsidR="00B177E1" w:rsidRPr="007A2285">
        <w:rPr>
          <w:rFonts w:ascii="Arial" w:hAnsi="Arial" w:cs="Arial"/>
          <w:b/>
          <w:sz w:val="48"/>
          <w:szCs w:val="48"/>
          <w:lang w:val="en-US"/>
        </w:rPr>
        <w:t xml:space="preserve">escribing the </w:t>
      </w:r>
      <w:r>
        <w:rPr>
          <w:rFonts w:ascii="Arial" w:hAnsi="Arial" w:cs="Arial"/>
          <w:b/>
          <w:sz w:val="48"/>
          <w:szCs w:val="48"/>
          <w:lang w:val="en-US"/>
        </w:rPr>
        <w:t>C</w:t>
      </w:r>
      <w:r w:rsidR="00B177E1">
        <w:rPr>
          <w:rFonts w:ascii="Arial" w:hAnsi="Arial" w:cs="Arial"/>
          <w:b/>
          <w:sz w:val="48"/>
          <w:szCs w:val="48"/>
          <w:lang w:val="en-US"/>
        </w:rPr>
        <w:t xml:space="preserve">riminal </w:t>
      </w:r>
      <w:r>
        <w:rPr>
          <w:rFonts w:ascii="Arial" w:hAnsi="Arial" w:cs="Arial"/>
          <w:b/>
          <w:sz w:val="48"/>
          <w:szCs w:val="48"/>
          <w:lang w:val="en-US"/>
        </w:rPr>
        <w:t>J</w:t>
      </w:r>
      <w:r w:rsidR="00B177E1">
        <w:rPr>
          <w:rFonts w:ascii="Arial" w:hAnsi="Arial" w:cs="Arial"/>
          <w:b/>
          <w:sz w:val="48"/>
          <w:szCs w:val="48"/>
          <w:lang w:val="en-US"/>
        </w:rPr>
        <w:t xml:space="preserve">ustice </w:t>
      </w:r>
      <w:r>
        <w:rPr>
          <w:rFonts w:ascii="Arial" w:hAnsi="Arial" w:cs="Arial"/>
          <w:b/>
          <w:sz w:val="48"/>
          <w:szCs w:val="48"/>
          <w:lang w:val="en-US"/>
        </w:rPr>
        <w:t>P</w:t>
      </w:r>
      <w:r w:rsidR="00B177E1">
        <w:rPr>
          <w:rFonts w:ascii="Arial" w:hAnsi="Arial" w:cs="Arial"/>
          <w:b/>
          <w:sz w:val="48"/>
          <w:szCs w:val="48"/>
          <w:lang w:val="en-US"/>
        </w:rPr>
        <w:t>rocess</w:t>
      </w:r>
      <w:r w:rsidR="00B177E1" w:rsidRPr="00DF43EA">
        <w:rPr>
          <w:rFonts w:ascii="Arial" w:hAnsi="Arial" w:cs="Arial"/>
          <w:i/>
          <w:sz w:val="48"/>
          <w:szCs w:val="48"/>
          <w:lang w:val="en-US"/>
        </w:rPr>
        <w:t xml:space="preserve"> </w:t>
      </w:r>
    </w:p>
    <w:p w:rsidR="00D0270E" w:rsidRPr="006B1F86" w:rsidRDefault="00B177E1" w:rsidP="00C726EA">
      <w:pPr>
        <w:spacing w:after="0" w:line="360" w:lineRule="auto"/>
        <w:jc w:val="both"/>
        <w:rPr>
          <w:rFonts w:ascii="Arial" w:hAnsi="Arial" w:cs="Arial"/>
          <w:sz w:val="24"/>
          <w:szCs w:val="24"/>
          <w:lang w:val="en-US"/>
        </w:rPr>
      </w:pPr>
      <w:r w:rsidRPr="0069572B">
        <w:rPr>
          <w:rFonts w:ascii="Arial" w:hAnsi="Arial" w:cs="Arial"/>
          <w:sz w:val="24"/>
          <w:szCs w:val="24"/>
          <w:lang w:val="en-GB"/>
        </w:rPr>
        <w:t xml:space="preserve">Fredrik </w:t>
      </w:r>
      <w:proofErr w:type="spellStart"/>
      <w:r w:rsidRPr="0069572B">
        <w:rPr>
          <w:rFonts w:ascii="Arial" w:hAnsi="Arial" w:cs="Arial"/>
          <w:sz w:val="24"/>
          <w:szCs w:val="24"/>
          <w:lang w:val="en-GB"/>
        </w:rPr>
        <w:t>Granström</w:t>
      </w:r>
      <w:proofErr w:type="spellEnd"/>
      <w:r w:rsidRPr="0069572B">
        <w:rPr>
          <w:rFonts w:ascii="Arial" w:hAnsi="Arial" w:cs="Arial"/>
          <w:sz w:val="24"/>
          <w:szCs w:val="24"/>
          <w:lang w:val="en-GB"/>
        </w:rPr>
        <w:t>. Swedish National Council for Crime Prev</w:t>
      </w:r>
      <w:r>
        <w:rPr>
          <w:rFonts w:ascii="Arial" w:hAnsi="Arial" w:cs="Arial"/>
          <w:sz w:val="24"/>
          <w:szCs w:val="24"/>
          <w:lang w:val="en-GB"/>
        </w:rPr>
        <w:t>ention,</w:t>
      </w:r>
      <w:r w:rsidR="000D705A" w:rsidRPr="006B1F86">
        <w:rPr>
          <w:rFonts w:ascii="Arial" w:hAnsi="Arial" w:cs="Arial"/>
          <w:sz w:val="24"/>
          <w:szCs w:val="24"/>
          <w:lang w:val="en-US"/>
        </w:rPr>
        <w:t xml:space="preserve"> </w:t>
      </w:r>
      <w:hyperlink r:id="rId9" w:history="1">
        <w:r w:rsidRPr="000D5F26">
          <w:rPr>
            <w:rStyle w:val="Hyperlnk"/>
            <w:rFonts w:ascii="Arial" w:hAnsi="Arial" w:cs="Arial"/>
            <w:sz w:val="24"/>
            <w:szCs w:val="24"/>
            <w:lang w:val="en-US"/>
          </w:rPr>
          <w:t>fredrik.granstrom@bra.se</w:t>
        </w:r>
      </w:hyperlink>
      <w:r w:rsidR="003D0235" w:rsidRPr="006B1F86">
        <w:rPr>
          <w:rFonts w:ascii="Arial" w:hAnsi="Arial" w:cs="Arial"/>
          <w:sz w:val="24"/>
          <w:szCs w:val="24"/>
          <w:lang w:val="en-US"/>
        </w:rPr>
        <w:t xml:space="preserve"> </w:t>
      </w:r>
    </w:p>
    <w:p w:rsidR="006B1F86" w:rsidRDefault="00B177E1" w:rsidP="006B1F86">
      <w:pPr>
        <w:spacing w:after="0" w:line="360" w:lineRule="auto"/>
        <w:jc w:val="both"/>
        <w:rPr>
          <w:rFonts w:ascii="Arial" w:hAnsi="Arial" w:cs="Arial"/>
          <w:sz w:val="24"/>
          <w:szCs w:val="24"/>
          <w:lang w:val="en-US"/>
        </w:rPr>
      </w:pPr>
      <w:r>
        <w:rPr>
          <w:rFonts w:ascii="Arial" w:hAnsi="Arial" w:cs="Arial"/>
          <w:sz w:val="24"/>
          <w:szCs w:val="24"/>
          <w:lang w:val="en-GB"/>
        </w:rPr>
        <w:t xml:space="preserve">Remy </w:t>
      </w:r>
      <w:proofErr w:type="spellStart"/>
      <w:r>
        <w:rPr>
          <w:rFonts w:ascii="Arial" w:hAnsi="Arial" w:cs="Arial"/>
          <w:sz w:val="24"/>
          <w:szCs w:val="24"/>
          <w:lang w:val="en-GB"/>
        </w:rPr>
        <w:t>Kamali</w:t>
      </w:r>
      <w:proofErr w:type="spellEnd"/>
      <w:r>
        <w:rPr>
          <w:rFonts w:ascii="Arial" w:hAnsi="Arial" w:cs="Arial"/>
          <w:sz w:val="24"/>
          <w:szCs w:val="24"/>
          <w:lang w:val="en-GB"/>
        </w:rPr>
        <w:t xml:space="preserve">, </w:t>
      </w:r>
      <w:r w:rsidRPr="0069572B">
        <w:rPr>
          <w:rFonts w:ascii="Arial" w:hAnsi="Arial" w:cs="Arial"/>
          <w:sz w:val="24"/>
          <w:szCs w:val="24"/>
          <w:lang w:val="en-GB"/>
        </w:rPr>
        <w:t>Swedish National Council for Crime Prevention</w:t>
      </w:r>
      <w:r w:rsidR="000D705A" w:rsidRPr="006B1F86">
        <w:rPr>
          <w:rFonts w:ascii="Arial" w:hAnsi="Arial" w:cs="Arial"/>
          <w:sz w:val="24"/>
          <w:szCs w:val="24"/>
          <w:lang w:val="en-US"/>
        </w:rPr>
        <w:t xml:space="preserve">, </w:t>
      </w:r>
      <w:r>
        <w:rPr>
          <w:rStyle w:val="Hyperlnk"/>
          <w:rFonts w:ascii="Arial" w:hAnsi="Arial" w:cs="Arial"/>
          <w:sz w:val="24"/>
          <w:szCs w:val="24"/>
          <w:lang w:val="en-US"/>
        </w:rPr>
        <w:t>remy</w:t>
      </w:r>
      <w:r w:rsidR="006B1F86" w:rsidRPr="006B1F86">
        <w:rPr>
          <w:rStyle w:val="Hyperlnk"/>
          <w:rFonts w:ascii="Arial" w:hAnsi="Arial" w:cs="Arial"/>
          <w:sz w:val="24"/>
          <w:szCs w:val="24"/>
          <w:lang w:val="en-US"/>
        </w:rPr>
        <w:t>.</w:t>
      </w:r>
      <w:r>
        <w:rPr>
          <w:rStyle w:val="Hyperlnk"/>
          <w:rFonts w:ascii="Arial" w:hAnsi="Arial" w:cs="Arial"/>
          <w:sz w:val="24"/>
          <w:szCs w:val="24"/>
          <w:lang w:val="en-US"/>
        </w:rPr>
        <w:t>kamali</w:t>
      </w:r>
      <w:r w:rsidR="006B1F86" w:rsidRPr="006B1F86">
        <w:rPr>
          <w:rStyle w:val="Hyperlnk"/>
          <w:rFonts w:ascii="Arial" w:hAnsi="Arial" w:cs="Arial"/>
          <w:sz w:val="24"/>
          <w:szCs w:val="24"/>
          <w:lang w:val="en-US"/>
        </w:rPr>
        <w:t>@</w:t>
      </w:r>
      <w:r>
        <w:rPr>
          <w:rStyle w:val="Hyperlnk"/>
          <w:rFonts w:ascii="Arial" w:hAnsi="Arial" w:cs="Arial"/>
          <w:sz w:val="24"/>
          <w:szCs w:val="24"/>
          <w:lang w:val="en-US"/>
        </w:rPr>
        <w:t>bra</w:t>
      </w:r>
      <w:r w:rsidR="006B1F86" w:rsidRPr="006B1F86">
        <w:rPr>
          <w:rStyle w:val="Hyperlnk"/>
          <w:rFonts w:ascii="Arial" w:hAnsi="Arial" w:cs="Arial"/>
          <w:sz w:val="24"/>
          <w:szCs w:val="24"/>
          <w:lang w:val="en-US"/>
        </w:rPr>
        <w:t>.</w:t>
      </w:r>
      <w:r>
        <w:rPr>
          <w:rStyle w:val="Hyperlnk"/>
          <w:rFonts w:ascii="Arial" w:hAnsi="Arial" w:cs="Arial"/>
          <w:sz w:val="24"/>
          <w:szCs w:val="24"/>
          <w:lang w:val="en-US"/>
        </w:rPr>
        <w:t>se</w:t>
      </w:r>
      <w:r w:rsidR="003D0235" w:rsidRPr="006B1F86">
        <w:rPr>
          <w:rFonts w:ascii="Arial" w:hAnsi="Arial" w:cs="Arial"/>
          <w:sz w:val="24"/>
          <w:szCs w:val="24"/>
          <w:lang w:val="en-US"/>
        </w:rPr>
        <w:t xml:space="preserve"> </w:t>
      </w:r>
    </w:p>
    <w:p w:rsidR="006B1F86" w:rsidRDefault="006B1F86" w:rsidP="006B1F86">
      <w:pPr>
        <w:spacing w:after="0" w:line="360" w:lineRule="auto"/>
        <w:jc w:val="both"/>
        <w:rPr>
          <w:rFonts w:ascii="Arial" w:hAnsi="Arial" w:cs="Arial"/>
          <w:b/>
          <w:sz w:val="20"/>
          <w:szCs w:val="20"/>
          <w:lang w:val="en-US"/>
        </w:rPr>
      </w:pPr>
    </w:p>
    <w:p w:rsidR="000D705A" w:rsidRPr="006B1F86" w:rsidRDefault="000D705A" w:rsidP="006B1F86">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rsidR="00B177E1" w:rsidRPr="00EC5E5B" w:rsidRDefault="00B177E1" w:rsidP="00B177E1">
      <w:pPr>
        <w:spacing w:after="120"/>
        <w:jc w:val="both"/>
        <w:rPr>
          <w:rFonts w:ascii="Arial" w:hAnsi="Arial" w:cs="Arial"/>
          <w:i/>
          <w:sz w:val="20"/>
          <w:szCs w:val="20"/>
          <w:lang w:val="en-US"/>
        </w:rPr>
      </w:pPr>
      <w:r w:rsidRPr="00EC5E5B">
        <w:rPr>
          <w:rFonts w:ascii="Arial" w:hAnsi="Arial" w:cs="Arial"/>
          <w:i/>
          <w:sz w:val="20"/>
          <w:szCs w:val="20"/>
          <w:lang w:val="en-US"/>
        </w:rPr>
        <w:t>The Swedish National Council for Crime Prevention (</w:t>
      </w:r>
      <w:proofErr w:type="spellStart"/>
      <w:r w:rsidRPr="00EC5E5B">
        <w:rPr>
          <w:rFonts w:ascii="Arial" w:hAnsi="Arial" w:cs="Arial"/>
          <w:i/>
          <w:sz w:val="20"/>
          <w:szCs w:val="20"/>
          <w:lang w:val="en-US"/>
        </w:rPr>
        <w:t>Brå</w:t>
      </w:r>
      <w:proofErr w:type="spellEnd"/>
      <w:r w:rsidRPr="00EC5E5B">
        <w:rPr>
          <w:rFonts w:ascii="Arial" w:hAnsi="Arial" w:cs="Arial"/>
          <w:i/>
          <w:sz w:val="20"/>
          <w:szCs w:val="20"/>
          <w:lang w:val="en-US"/>
        </w:rPr>
        <w:t>) is responsible for the production of Official Crime Statistics in Sweden. The criminal justice</w:t>
      </w:r>
      <w:r>
        <w:rPr>
          <w:rFonts w:ascii="Arial" w:hAnsi="Arial" w:cs="Arial"/>
          <w:i/>
          <w:sz w:val="20"/>
          <w:szCs w:val="20"/>
          <w:lang w:val="en-US"/>
        </w:rPr>
        <w:t xml:space="preserve"> </w:t>
      </w:r>
      <w:r w:rsidRPr="00EC5E5B">
        <w:rPr>
          <w:rFonts w:ascii="Arial" w:hAnsi="Arial" w:cs="Arial"/>
          <w:i/>
          <w:sz w:val="20"/>
          <w:szCs w:val="20"/>
          <w:lang w:val="en-US"/>
        </w:rPr>
        <w:t xml:space="preserve">process involves several authorities, e.g. </w:t>
      </w:r>
      <w:r>
        <w:rPr>
          <w:rFonts w:ascii="Arial" w:hAnsi="Arial" w:cs="Arial"/>
          <w:i/>
          <w:sz w:val="20"/>
          <w:szCs w:val="20"/>
          <w:lang w:val="en-US"/>
        </w:rPr>
        <w:t xml:space="preserve">the </w:t>
      </w:r>
      <w:r w:rsidRPr="00EC5E5B">
        <w:rPr>
          <w:rFonts w:ascii="Arial" w:hAnsi="Arial" w:cs="Arial"/>
          <w:i/>
          <w:sz w:val="20"/>
          <w:szCs w:val="20"/>
          <w:lang w:val="en-US"/>
        </w:rPr>
        <w:t xml:space="preserve">Swedish Police Authority, </w:t>
      </w:r>
      <w:r>
        <w:rPr>
          <w:rFonts w:ascii="Arial" w:hAnsi="Arial" w:cs="Arial"/>
          <w:i/>
          <w:sz w:val="20"/>
          <w:szCs w:val="20"/>
          <w:lang w:val="en-US"/>
        </w:rPr>
        <w:t xml:space="preserve">the </w:t>
      </w:r>
      <w:r w:rsidRPr="00EC5E5B">
        <w:rPr>
          <w:rFonts w:ascii="Arial" w:hAnsi="Arial" w:cs="Arial"/>
          <w:i/>
          <w:sz w:val="20"/>
          <w:szCs w:val="20"/>
          <w:lang w:val="en-US"/>
        </w:rPr>
        <w:t xml:space="preserve">Swedish Prosecution Authority and </w:t>
      </w:r>
      <w:r>
        <w:rPr>
          <w:rFonts w:ascii="Arial" w:hAnsi="Arial" w:cs="Arial"/>
          <w:i/>
          <w:sz w:val="20"/>
          <w:szCs w:val="20"/>
          <w:lang w:val="en-US"/>
        </w:rPr>
        <w:t xml:space="preserve">the </w:t>
      </w:r>
      <w:r w:rsidRPr="00EC5E5B">
        <w:rPr>
          <w:rFonts w:ascii="Arial" w:hAnsi="Arial" w:cs="Arial"/>
          <w:i/>
          <w:sz w:val="20"/>
          <w:szCs w:val="20"/>
          <w:lang w:val="en-US"/>
        </w:rPr>
        <w:t>Swedish Courts, w</w:t>
      </w:r>
      <w:r>
        <w:rPr>
          <w:rFonts w:ascii="Arial" w:hAnsi="Arial" w:cs="Arial"/>
          <w:i/>
          <w:sz w:val="20"/>
          <w:szCs w:val="20"/>
          <w:lang w:val="en-US"/>
        </w:rPr>
        <w:t>h</w:t>
      </w:r>
      <w:r w:rsidRPr="00EC5E5B">
        <w:rPr>
          <w:rFonts w:ascii="Arial" w:hAnsi="Arial" w:cs="Arial"/>
          <w:i/>
          <w:sz w:val="20"/>
          <w:szCs w:val="20"/>
          <w:lang w:val="en-US"/>
        </w:rPr>
        <w:t>i</w:t>
      </w:r>
      <w:r>
        <w:rPr>
          <w:rFonts w:ascii="Arial" w:hAnsi="Arial" w:cs="Arial"/>
          <w:i/>
          <w:sz w:val="20"/>
          <w:szCs w:val="20"/>
          <w:lang w:val="en-US"/>
        </w:rPr>
        <w:t>c</w:t>
      </w:r>
      <w:r w:rsidRPr="00EC5E5B">
        <w:rPr>
          <w:rFonts w:ascii="Arial" w:hAnsi="Arial" w:cs="Arial"/>
          <w:i/>
          <w:sz w:val="20"/>
          <w:szCs w:val="20"/>
          <w:lang w:val="en-US"/>
        </w:rPr>
        <w:t xml:space="preserve">h </w:t>
      </w:r>
      <w:r>
        <w:rPr>
          <w:rFonts w:ascii="Arial" w:hAnsi="Arial" w:cs="Arial"/>
          <w:i/>
          <w:sz w:val="20"/>
          <w:szCs w:val="20"/>
          <w:lang w:val="en-US"/>
        </w:rPr>
        <w:t xml:space="preserve">each have </w:t>
      </w:r>
      <w:r w:rsidRPr="00EC5E5B">
        <w:rPr>
          <w:rFonts w:ascii="Arial" w:hAnsi="Arial" w:cs="Arial"/>
          <w:i/>
          <w:sz w:val="20"/>
          <w:szCs w:val="20"/>
          <w:lang w:val="en-US"/>
        </w:rPr>
        <w:t>separate data recording systems.</w:t>
      </w:r>
    </w:p>
    <w:p w:rsidR="00AC406F" w:rsidRDefault="00B177E1" w:rsidP="00B177E1">
      <w:pPr>
        <w:spacing w:after="120"/>
        <w:jc w:val="both"/>
        <w:rPr>
          <w:rFonts w:ascii="Arial" w:hAnsi="Arial" w:cs="Arial"/>
          <w:i/>
          <w:sz w:val="20"/>
          <w:szCs w:val="20"/>
          <w:lang w:val="en-US"/>
        </w:rPr>
      </w:pPr>
      <w:r>
        <w:rPr>
          <w:rFonts w:ascii="Arial" w:hAnsi="Arial" w:cs="Arial"/>
          <w:i/>
          <w:sz w:val="20"/>
          <w:szCs w:val="20"/>
          <w:lang w:val="en-US"/>
        </w:rPr>
        <w:t>A decade ago,</w:t>
      </w:r>
      <w:r w:rsidRPr="00EC5E5B">
        <w:rPr>
          <w:rFonts w:ascii="Arial" w:hAnsi="Arial" w:cs="Arial"/>
          <w:i/>
          <w:sz w:val="20"/>
          <w:szCs w:val="20"/>
          <w:lang w:val="en-US"/>
        </w:rPr>
        <w:t xml:space="preserve"> the Swedish government</w:t>
      </w:r>
      <w:r>
        <w:rPr>
          <w:rFonts w:ascii="Arial" w:hAnsi="Arial" w:cs="Arial"/>
          <w:i/>
          <w:sz w:val="20"/>
          <w:szCs w:val="20"/>
          <w:lang w:val="en-US"/>
        </w:rPr>
        <w:t xml:space="preserve"> initiated the</w:t>
      </w:r>
      <w:r w:rsidRPr="00EC5E5B">
        <w:rPr>
          <w:rFonts w:ascii="Arial" w:hAnsi="Arial" w:cs="Arial"/>
          <w:i/>
          <w:sz w:val="20"/>
          <w:szCs w:val="20"/>
          <w:lang w:val="en-US"/>
        </w:rPr>
        <w:t xml:space="preserve"> development of a new</w:t>
      </w:r>
      <w:r>
        <w:rPr>
          <w:rFonts w:ascii="Arial" w:hAnsi="Arial" w:cs="Arial"/>
          <w:i/>
          <w:sz w:val="20"/>
          <w:szCs w:val="20"/>
          <w:lang w:val="en-US"/>
        </w:rPr>
        <w:t>,</w:t>
      </w:r>
      <w:r w:rsidRPr="00EC5E5B">
        <w:rPr>
          <w:rFonts w:ascii="Arial" w:hAnsi="Arial" w:cs="Arial"/>
          <w:i/>
          <w:sz w:val="20"/>
          <w:szCs w:val="20"/>
          <w:lang w:val="en-US"/>
        </w:rPr>
        <w:t xml:space="preserve"> coherent digital case management system</w:t>
      </w:r>
      <w:r>
        <w:rPr>
          <w:rFonts w:ascii="Arial" w:hAnsi="Arial" w:cs="Arial"/>
          <w:i/>
          <w:sz w:val="20"/>
          <w:szCs w:val="20"/>
          <w:lang w:val="en-US"/>
        </w:rPr>
        <w:t>,</w:t>
      </w:r>
      <w:r w:rsidRPr="00EC5E5B">
        <w:rPr>
          <w:rFonts w:ascii="Arial" w:hAnsi="Arial" w:cs="Arial"/>
          <w:i/>
          <w:sz w:val="20"/>
          <w:szCs w:val="20"/>
          <w:lang w:val="en-US"/>
        </w:rPr>
        <w:t xml:space="preserve"> focusing on efficiency, quality and legal safety. This new system</w:t>
      </w:r>
      <w:r>
        <w:rPr>
          <w:rFonts w:ascii="Arial" w:hAnsi="Arial" w:cs="Arial"/>
          <w:i/>
          <w:sz w:val="20"/>
          <w:szCs w:val="20"/>
          <w:lang w:val="en-US"/>
        </w:rPr>
        <w:t xml:space="preserve"> is</w:t>
      </w:r>
      <w:r w:rsidRPr="00EC5E5B">
        <w:rPr>
          <w:rFonts w:ascii="Arial" w:hAnsi="Arial" w:cs="Arial"/>
          <w:i/>
          <w:sz w:val="20"/>
          <w:szCs w:val="20"/>
          <w:lang w:val="en-US"/>
        </w:rPr>
        <w:t xml:space="preserve"> </w:t>
      </w:r>
      <w:r>
        <w:rPr>
          <w:rFonts w:ascii="Arial" w:hAnsi="Arial" w:cs="Arial"/>
          <w:i/>
          <w:sz w:val="20"/>
          <w:szCs w:val="20"/>
          <w:lang w:val="en-US"/>
        </w:rPr>
        <w:t>revolving around the</w:t>
      </w:r>
      <w:r w:rsidRPr="00EC5E5B">
        <w:rPr>
          <w:rFonts w:ascii="Arial" w:hAnsi="Arial" w:cs="Arial"/>
          <w:i/>
          <w:sz w:val="20"/>
          <w:szCs w:val="20"/>
          <w:lang w:val="en-US"/>
        </w:rPr>
        <w:t xml:space="preserve"> digitalization and standardization of information-exchange between all authorities involved in the </w:t>
      </w:r>
      <w:r>
        <w:rPr>
          <w:rFonts w:ascii="Arial" w:hAnsi="Arial" w:cs="Arial"/>
          <w:i/>
          <w:sz w:val="20"/>
          <w:szCs w:val="20"/>
          <w:lang w:val="en-US"/>
        </w:rPr>
        <w:t xml:space="preserve">criminal justice </w:t>
      </w:r>
      <w:r w:rsidRPr="00EC5E5B">
        <w:rPr>
          <w:rFonts w:ascii="Arial" w:hAnsi="Arial" w:cs="Arial"/>
          <w:i/>
          <w:sz w:val="20"/>
          <w:szCs w:val="20"/>
          <w:lang w:val="en-US"/>
        </w:rPr>
        <w:t xml:space="preserve">process. </w:t>
      </w:r>
      <w:r>
        <w:rPr>
          <w:rFonts w:ascii="Arial" w:hAnsi="Arial" w:cs="Arial"/>
          <w:i/>
          <w:sz w:val="20"/>
          <w:szCs w:val="20"/>
          <w:lang w:val="en-US"/>
        </w:rPr>
        <w:t>T</w:t>
      </w:r>
      <w:r w:rsidRPr="00EC5E5B">
        <w:rPr>
          <w:rFonts w:ascii="Arial" w:hAnsi="Arial" w:cs="Arial"/>
          <w:i/>
          <w:sz w:val="20"/>
          <w:szCs w:val="20"/>
          <w:lang w:val="en-US"/>
        </w:rPr>
        <w:t xml:space="preserve">he first </w:t>
      </w:r>
      <w:r w:rsidR="008F3F40">
        <w:rPr>
          <w:rFonts w:ascii="Arial" w:hAnsi="Arial" w:cs="Arial"/>
          <w:i/>
          <w:sz w:val="20"/>
          <w:szCs w:val="20"/>
          <w:lang w:val="en-US"/>
        </w:rPr>
        <w:t>stage</w:t>
      </w:r>
      <w:r>
        <w:rPr>
          <w:rFonts w:ascii="Arial" w:hAnsi="Arial" w:cs="Arial"/>
          <w:i/>
          <w:sz w:val="20"/>
          <w:szCs w:val="20"/>
          <w:lang w:val="en-US"/>
        </w:rPr>
        <w:t xml:space="preserve"> was launched in 2013 and</w:t>
      </w:r>
      <w:r w:rsidRPr="00EC5E5B">
        <w:rPr>
          <w:rFonts w:ascii="Arial" w:hAnsi="Arial" w:cs="Arial"/>
          <w:i/>
          <w:sz w:val="20"/>
          <w:szCs w:val="20"/>
          <w:lang w:val="en-US"/>
        </w:rPr>
        <w:t xml:space="preserve"> includ</w:t>
      </w:r>
      <w:r>
        <w:rPr>
          <w:rFonts w:ascii="Arial" w:hAnsi="Arial" w:cs="Arial"/>
          <w:i/>
          <w:sz w:val="20"/>
          <w:szCs w:val="20"/>
          <w:lang w:val="en-US"/>
        </w:rPr>
        <w:t>ed</w:t>
      </w:r>
      <w:r w:rsidRPr="00EC5E5B">
        <w:rPr>
          <w:rFonts w:ascii="Arial" w:hAnsi="Arial" w:cs="Arial"/>
          <w:i/>
          <w:sz w:val="20"/>
          <w:szCs w:val="20"/>
          <w:lang w:val="en-US"/>
        </w:rPr>
        <w:t xml:space="preserve"> </w:t>
      </w:r>
      <w:r>
        <w:rPr>
          <w:rFonts w:ascii="Arial" w:hAnsi="Arial" w:cs="Arial"/>
          <w:i/>
          <w:sz w:val="20"/>
          <w:szCs w:val="20"/>
          <w:lang w:val="en-US"/>
        </w:rPr>
        <w:t xml:space="preserve">the </w:t>
      </w:r>
      <w:r w:rsidRPr="00EC5E5B">
        <w:rPr>
          <w:rFonts w:ascii="Arial" w:hAnsi="Arial" w:cs="Arial"/>
          <w:i/>
          <w:sz w:val="20"/>
          <w:szCs w:val="20"/>
          <w:lang w:val="en-US"/>
        </w:rPr>
        <w:t xml:space="preserve">Swedish Police Authority, </w:t>
      </w:r>
      <w:r>
        <w:rPr>
          <w:rFonts w:ascii="Arial" w:hAnsi="Arial" w:cs="Arial"/>
          <w:i/>
          <w:sz w:val="20"/>
          <w:szCs w:val="20"/>
          <w:lang w:val="en-US"/>
        </w:rPr>
        <w:t xml:space="preserve">the </w:t>
      </w:r>
      <w:r w:rsidRPr="00EC5E5B">
        <w:rPr>
          <w:rFonts w:ascii="Arial" w:hAnsi="Arial" w:cs="Arial"/>
          <w:i/>
          <w:sz w:val="20"/>
          <w:szCs w:val="20"/>
          <w:lang w:val="en-US"/>
        </w:rPr>
        <w:t xml:space="preserve">Swedish Prosecution Authority and </w:t>
      </w:r>
      <w:r>
        <w:rPr>
          <w:rFonts w:ascii="Arial" w:hAnsi="Arial" w:cs="Arial"/>
          <w:i/>
          <w:sz w:val="20"/>
          <w:szCs w:val="20"/>
          <w:lang w:val="en-US"/>
        </w:rPr>
        <w:t xml:space="preserve">the </w:t>
      </w:r>
      <w:r w:rsidRPr="00EC5E5B">
        <w:rPr>
          <w:rFonts w:ascii="Arial" w:hAnsi="Arial" w:cs="Arial"/>
          <w:i/>
          <w:sz w:val="20"/>
          <w:szCs w:val="20"/>
          <w:lang w:val="en-US"/>
        </w:rPr>
        <w:t>Swedish Economic Crime Authority. This means that it is now po</w:t>
      </w:r>
      <w:r w:rsidR="00AC406F">
        <w:rPr>
          <w:rFonts w:ascii="Arial" w:hAnsi="Arial" w:cs="Arial"/>
          <w:i/>
          <w:sz w:val="20"/>
          <w:szCs w:val="20"/>
          <w:lang w:val="en-US"/>
        </w:rPr>
        <w:t>ssible to trace a reported offence</w:t>
      </w:r>
      <w:r w:rsidRPr="00EC5E5B">
        <w:rPr>
          <w:rFonts w:ascii="Arial" w:hAnsi="Arial" w:cs="Arial"/>
          <w:i/>
          <w:sz w:val="20"/>
          <w:szCs w:val="20"/>
          <w:lang w:val="en-US"/>
        </w:rPr>
        <w:t xml:space="preserve">, and its related information, </w:t>
      </w:r>
      <w:r>
        <w:rPr>
          <w:rFonts w:ascii="Arial" w:hAnsi="Arial" w:cs="Arial"/>
          <w:i/>
          <w:sz w:val="20"/>
          <w:szCs w:val="20"/>
          <w:lang w:val="en-US"/>
        </w:rPr>
        <w:t xml:space="preserve">on its path </w:t>
      </w:r>
      <w:r w:rsidRPr="00EC5E5B">
        <w:rPr>
          <w:rFonts w:ascii="Arial" w:hAnsi="Arial" w:cs="Arial"/>
          <w:i/>
          <w:sz w:val="20"/>
          <w:szCs w:val="20"/>
          <w:lang w:val="en-US"/>
        </w:rPr>
        <w:t>through the</w:t>
      </w:r>
      <w:r w:rsidR="00FD1BA3">
        <w:rPr>
          <w:rFonts w:ascii="Arial" w:hAnsi="Arial" w:cs="Arial"/>
          <w:i/>
          <w:sz w:val="20"/>
          <w:szCs w:val="20"/>
          <w:lang w:val="en-US"/>
        </w:rPr>
        <w:t xml:space="preserve"> part of the</w:t>
      </w:r>
      <w:r w:rsidRPr="00EC5E5B">
        <w:rPr>
          <w:rFonts w:ascii="Arial" w:hAnsi="Arial" w:cs="Arial"/>
          <w:i/>
          <w:sz w:val="20"/>
          <w:szCs w:val="20"/>
          <w:lang w:val="en-US"/>
        </w:rPr>
        <w:t xml:space="preserve"> ju</w:t>
      </w:r>
      <w:r>
        <w:rPr>
          <w:rFonts w:ascii="Arial" w:hAnsi="Arial" w:cs="Arial"/>
          <w:i/>
          <w:sz w:val="20"/>
          <w:szCs w:val="20"/>
          <w:lang w:val="en-US"/>
        </w:rPr>
        <w:t>sti</w:t>
      </w:r>
      <w:r w:rsidRPr="00EC5E5B">
        <w:rPr>
          <w:rFonts w:ascii="Arial" w:hAnsi="Arial" w:cs="Arial"/>
          <w:i/>
          <w:sz w:val="20"/>
          <w:szCs w:val="20"/>
          <w:lang w:val="en-US"/>
        </w:rPr>
        <w:t>c</w:t>
      </w:r>
      <w:r>
        <w:rPr>
          <w:rFonts w:ascii="Arial" w:hAnsi="Arial" w:cs="Arial"/>
          <w:i/>
          <w:sz w:val="20"/>
          <w:szCs w:val="20"/>
          <w:lang w:val="en-US"/>
        </w:rPr>
        <w:t>e system</w:t>
      </w:r>
      <w:r w:rsidR="00FD1BA3">
        <w:rPr>
          <w:rFonts w:ascii="Arial" w:hAnsi="Arial" w:cs="Arial"/>
          <w:i/>
          <w:sz w:val="20"/>
          <w:szCs w:val="20"/>
          <w:lang w:val="en-US"/>
        </w:rPr>
        <w:t xml:space="preserve"> handled</w:t>
      </w:r>
      <w:r w:rsidR="00AC406F">
        <w:rPr>
          <w:rFonts w:ascii="Arial" w:hAnsi="Arial" w:cs="Arial"/>
          <w:i/>
          <w:sz w:val="20"/>
          <w:szCs w:val="20"/>
          <w:lang w:val="en-US"/>
        </w:rPr>
        <w:t xml:space="preserve"> by those authorities</w:t>
      </w:r>
      <w:r w:rsidRPr="00EC5E5B">
        <w:rPr>
          <w:rFonts w:ascii="Arial" w:hAnsi="Arial" w:cs="Arial"/>
          <w:i/>
          <w:sz w:val="20"/>
          <w:szCs w:val="20"/>
          <w:lang w:val="en-US"/>
        </w:rPr>
        <w:t>.</w:t>
      </w:r>
      <w:r w:rsidR="000A6D3C">
        <w:rPr>
          <w:rFonts w:ascii="Arial" w:hAnsi="Arial" w:cs="Arial"/>
          <w:i/>
          <w:sz w:val="20"/>
          <w:szCs w:val="20"/>
          <w:lang w:val="en-US"/>
        </w:rPr>
        <w:t xml:space="preserve"> This is important as it enables the government </w:t>
      </w:r>
      <w:r w:rsidR="000A6D3C" w:rsidRPr="000A6D3C">
        <w:rPr>
          <w:rFonts w:ascii="Arial" w:hAnsi="Arial" w:cs="Arial"/>
          <w:i/>
          <w:sz w:val="20"/>
          <w:szCs w:val="20"/>
          <w:lang w:val="en-US"/>
        </w:rPr>
        <w:t xml:space="preserve">to </w:t>
      </w:r>
      <w:r w:rsidR="000A6D3C">
        <w:rPr>
          <w:rFonts w:ascii="Arial" w:hAnsi="Arial" w:cs="Arial"/>
          <w:i/>
          <w:sz w:val="20"/>
          <w:szCs w:val="20"/>
          <w:lang w:val="en-US"/>
        </w:rPr>
        <w:t xml:space="preserve">monitor, analyze and </w:t>
      </w:r>
      <w:r w:rsidR="000A6D3C" w:rsidRPr="000A6D3C">
        <w:rPr>
          <w:rFonts w:ascii="Arial" w:hAnsi="Arial" w:cs="Arial"/>
          <w:i/>
          <w:sz w:val="20"/>
          <w:szCs w:val="20"/>
          <w:lang w:val="en-US"/>
        </w:rPr>
        <w:t>follow up the activities of the criminal justice system in a coherent</w:t>
      </w:r>
      <w:r w:rsidR="000A6D3C">
        <w:rPr>
          <w:rFonts w:ascii="Arial" w:hAnsi="Arial" w:cs="Arial"/>
          <w:i/>
          <w:sz w:val="20"/>
          <w:szCs w:val="20"/>
          <w:lang w:val="en-US"/>
        </w:rPr>
        <w:t xml:space="preserve"> way</w:t>
      </w:r>
      <w:r w:rsidR="00AC406F">
        <w:rPr>
          <w:rFonts w:ascii="Arial" w:hAnsi="Arial" w:cs="Arial"/>
          <w:i/>
          <w:sz w:val="20"/>
          <w:szCs w:val="20"/>
          <w:lang w:val="en-US"/>
        </w:rPr>
        <w:t xml:space="preserve"> previously not possible.</w:t>
      </w:r>
    </w:p>
    <w:p w:rsidR="00B177E1" w:rsidRPr="00EC5E5B" w:rsidRDefault="00AC406F" w:rsidP="00B177E1">
      <w:pPr>
        <w:spacing w:after="120"/>
        <w:jc w:val="both"/>
        <w:rPr>
          <w:rFonts w:ascii="Arial" w:hAnsi="Arial" w:cs="Arial"/>
          <w:i/>
          <w:sz w:val="20"/>
          <w:szCs w:val="20"/>
          <w:lang w:val="en-US"/>
        </w:rPr>
      </w:pPr>
      <w:r>
        <w:rPr>
          <w:rFonts w:ascii="Arial" w:hAnsi="Arial" w:cs="Arial"/>
          <w:i/>
          <w:sz w:val="20"/>
          <w:szCs w:val="20"/>
          <w:lang w:val="en-US"/>
        </w:rPr>
        <w:t>Consequently</w:t>
      </w:r>
      <w:r w:rsidR="00B177E1" w:rsidRPr="00EC5E5B">
        <w:rPr>
          <w:rFonts w:ascii="Arial" w:hAnsi="Arial" w:cs="Arial"/>
          <w:i/>
          <w:sz w:val="20"/>
          <w:szCs w:val="20"/>
          <w:lang w:val="en-US"/>
        </w:rPr>
        <w:t xml:space="preserve">, </w:t>
      </w:r>
      <w:proofErr w:type="spellStart"/>
      <w:r w:rsidR="00B177E1" w:rsidRPr="00EC5E5B">
        <w:rPr>
          <w:rFonts w:ascii="Arial" w:hAnsi="Arial" w:cs="Arial"/>
          <w:i/>
          <w:sz w:val="20"/>
          <w:szCs w:val="20"/>
          <w:lang w:val="en-US"/>
        </w:rPr>
        <w:t>Brå</w:t>
      </w:r>
      <w:proofErr w:type="spellEnd"/>
      <w:r w:rsidR="00B177E1" w:rsidRPr="00EC5E5B">
        <w:rPr>
          <w:rFonts w:ascii="Arial" w:hAnsi="Arial" w:cs="Arial"/>
          <w:i/>
          <w:sz w:val="20"/>
          <w:szCs w:val="20"/>
          <w:lang w:val="en-US"/>
        </w:rPr>
        <w:t xml:space="preserve"> was </w:t>
      </w:r>
      <w:r w:rsidR="000A6D3C">
        <w:rPr>
          <w:rFonts w:ascii="Arial" w:hAnsi="Arial" w:cs="Arial"/>
          <w:i/>
          <w:sz w:val="20"/>
          <w:szCs w:val="20"/>
          <w:lang w:val="en-US"/>
        </w:rPr>
        <w:t xml:space="preserve">in 2013 </w:t>
      </w:r>
      <w:r w:rsidR="00B177E1" w:rsidRPr="00EC5E5B">
        <w:rPr>
          <w:rFonts w:ascii="Arial" w:hAnsi="Arial" w:cs="Arial"/>
          <w:i/>
          <w:sz w:val="20"/>
          <w:szCs w:val="20"/>
          <w:lang w:val="en-US"/>
        </w:rPr>
        <w:t xml:space="preserve">commissioned by the Swedish government to </w:t>
      </w:r>
      <w:r w:rsidR="00B177E1">
        <w:rPr>
          <w:rFonts w:ascii="Arial" w:hAnsi="Arial" w:cs="Arial"/>
          <w:i/>
          <w:sz w:val="20"/>
          <w:szCs w:val="20"/>
          <w:lang w:val="en-US"/>
        </w:rPr>
        <w:t>develop</w:t>
      </w:r>
      <w:r w:rsidR="00B177E1" w:rsidRPr="00EC5E5B">
        <w:rPr>
          <w:rFonts w:ascii="Arial" w:hAnsi="Arial" w:cs="Arial"/>
          <w:i/>
          <w:sz w:val="20"/>
          <w:szCs w:val="20"/>
          <w:lang w:val="en-US"/>
        </w:rPr>
        <w:t xml:space="preserve"> new operational and </w:t>
      </w:r>
      <w:r w:rsidR="000A6D3C">
        <w:rPr>
          <w:rFonts w:ascii="Arial" w:hAnsi="Arial" w:cs="Arial"/>
          <w:i/>
          <w:sz w:val="20"/>
          <w:szCs w:val="20"/>
          <w:lang w:val="en-US"/>
        </w:rPr>
        <w:t>pertinent</w:t>
      </w:r>
      <w:r w:rsidR="00B177E1" w:rsidRPr="00EC5E5B">
        <w:rPr>
          <w:rFonts w:ascii="Arial" w:hAnsi="Arial" w:cs="Arial"/>
          <w:i/>
          <w:sz w:val="20"/>
          <w:szCs w:val="20"/>
          <w:lang w:val="en-US"/>
        </w:rPr>
        <w:t xml:space="preserve"> statistics</w:t>
      </w:r>
      <w:r w:rsidR="000A6D3C">
        <w:rPr>
          <w:rFonts w:ascii="Arial" w:hAnsi="Arial" w:cs="Arial"/>
          <w:i/>
          <w:sz w:val="20"/>
          <w:szCs w:val="20"/>
          <w:lang w:val="en-US"/>
        </w:rPr>
        <w:t xml:space="preserve">, </w:t>
      </w:r>
      <w:r w:rsidR="00B177E1" w:rsidRPr="00EC5E5B">
        <w:rPr>
          <w:rFonts w:ascii="Arial" w:hAnsi="Arial" w:cs="Arial"/>
          <w:i/>
          <w:sz w:val="20"/>
          <w:szCs w:val="20"/>
          <w:lang w:val="en-US"/>
        </w:rPr>
        <w:t>provid</w:t>
      </w:r>
      <w:r w:rsidR="000A6D3C">
        <w:rPr>
          <w:rFonts w:ascii="Arial" w:hAnsi="Arial" w:cs="Arial"/>
          <w:i/>
          <w:sz w:val="20"/>
          <w:szCs w:val="20"/>
          <w:lang w:val="en-US"/>
        </w:rPr>
        <w:t>ing</w:t>
      </w:r>
      <w:r w:rsidR="00B177E1" w:rsidRPr="00EC5E5B">
        <w:rPr>
          <w:rFonts w:ascii="Arial" w:hAnsi="Arial" w:cs="Arial"/>
          <w:i/>
          <w:sz w:val="20"/>
          <w:szCs w:val="20"/>
          <w:lang w:val="en-US"/>
        </w:rPr>
        <w:t xml:space="preserve"> reliable in</w:t>
      </w:r>
      <w:r w:rsidR="00B177E1">
        <w:rPr>
          <w:rFonts w:ascii="Arial" w:hAnsi="Arial" w:cs="Arial"/>
          <w:i/>
          <w:sz w:val="20"/>
          <w:szCs w:val="20"/>
          <w:lang w:val="en-US"/>
        </w:rPr>
        <w:t>formation that can be used for the</w:t>
      </w:r>
      <w:r w:rsidR="00B177E1" w:rsidRPr="00EC5E5B">
        <w:rPr>
          <w:rFonts w:ascii="Arial" w:hAnsi="Arial" w:cs="Arial"/>
          <w:i/>
          <w:sz w:val="20"/>
          <w:szCs w:val="20"/>
          <w:lang w:val="en-US"/>
        </w:rPr>
        <w:t xml:space="preserve"> coherent follow-up and analysis of activities in the </w:t>
      </w:r>
      <w:r w:rsidR="00B177E1">
        <w:rPr>
          <w:rFonts w:ascii="Arial" w:hAnsi="Arial" w:cs="Arial"/>
          <w:i/>
          <w:sz w:val="20"/>
          <w:szCs w:val="20"/>
          <w:lang w:val="en-US"/>
        </w:rPr>
        <w:t>criminal justice</w:t>
      </w:r>
      <w:r w:rsidR="00B177E1" w:rsidRPr="00EC5E5B">
        <w:rPr>
          <w:rFonts w:ascii="Arial" w:hAnsi="Arial" w:cs="Arial"/>
          <w:i/>
          <w:sz w:val="20"/>
          <w:szCs w:val="20"/>
          <w:lang w:val="en-US"/>
        </w:rPr>
        <w:t xml:space="preserve"> process. </w:t>
      </w:r>
    </w:p>
    <w:p w:rsidR="00090401" w:rsidRDefault="00B177E1" w:rsidP="00B177E1">
      <w:pPr>
        <w:spacing w:after="0" w:line="240" w:lineRule="auto"/>
        <w:jc w:val="both"/>
        <w:rPr>
          <w:rFonts w:ascii="Arial" w:hAnsi="Arial" w:cs="Arial"/>
          <w:i/>
          <w:sz w:val="20"/>
          <w:szCs w:val="20"/>
          <w:lang w:val="en-GB"/>
        </w:rPr>
      </w:pPr>
      <w:r w:rsidRPr="00EC5E5B">
        <w:rPr>
          <w:rFonts w:ascii="Arial" w:hAnsi="Arial" w:cs="Arial"/>
          <w:i/>
          <w:sz w:val="20"/>
          <w:szCs w:val="20"/>
          <w:lang w:val="en-US"/>
        </w:rPr>
        <w:t>The development of the new statistics necessitated a new statistical approach</w:t>
      </w:r>
      <w:r>
        <w:rPr>
          <w:rFonts w:ascii="Arial" w:hAnsi="Arial" w:cs="Arial"/>
          <w:i/>
          <w:sz w:val="20"/>
          <w:szCs w:val="20"/>
          <w:lang w:val="en-US"/>
        </w:rPr>
        <w:t>, which involved</w:t>
      </w:r>
      <w:r w:rsidRPr="00EC5E5B">
        <w:rPr>
          <w:rFonts w:ascii="Arial" w:hAnsi="Arial" w:cs="Arial"/>
          <w:i/>
          <w:sz w:val="20"/>
          <w:szCs w:val="20"/>
          <w:lang w:val="en-US"/>
        </w:rPr>
        <w:t xml:space="preserve"> simplifying the sophisticated and complex </w:t>
      </w:r>
      <w:r>
        <w:rPr>
          <w:rFonts w:ascii="Arial" w:hAnsi="Arial" w:cs="Arial"/>
          <w:i/>
          <w:sz w:val="20"/>
          <w:szCs w:val="20"/>
          <w:lang w:val="en-US"/>
        </w:rPr>
        <w:t xml:space="preserve">structure of the </w:t>
      </w:r>
      <w:r w:rsidRPr="00EC5E5B">
        <w:rPr>
          <w:rFonts w:ascii="Arial" w:hAnsi="Arial" w:cs="Arial"/>
          <w:i/>
          <w:sz w:val="20"/>
          <w:szCs w:val="20"/>
          <w:lang w:val="en-US"/>
        </w:rPr>
        <w:t>transaction data obtained from the authorities in the ju</w:t>
      </w:r>
      <w:r>
        <w:rPr>
          <w:rFonts w:ascii="Arial" w:hAnsi="Arial" w:cs="Arial"/>
          <w:i/>
          <w:sz w:val="20"/>
          <w:szCs w:val="20"/>
          <w:lang w:val="en-US"/>
        </w:rPr>
        <w:t>sti</w:t>
      </w:r>
      <w:r w:rsidRPr="00EC5E5B">
        <w:rPr>
          <w:rFonts w:ascii="Arial" w:hAnsi="Arial" w:cs="Arial"/>
          <w:i/>
          <w:sz w:val="20"/>
          <w:szCs w:val="20"/>
          <w:lang w:val="en-US"/>
        </w:rPr>
        <w:t>c</w:t>
      </w:r>
      <w:r>
        <w:rPr>
          <w:rFonts w:ascii="Arial" w:hAnsi="Arial" w:cs="Arial"/>
          <w:i/>
          <w:sz w:val="20"/>
          <w:szCs w:val="20"/>
          <w:lang w:val="en-US"/>
        </w:rPr>
        <w:t>e system</w:t>
      </w:r>
      <w:r w:rsidRPr="00EC5E5B">
        <w:rPr>
          <w:rFonts w:ascii="Arial" w:hAnsi="Arial" w:cs="Arial"/>
          <w:i/>
          <w:sz w:val="20"/>
          <w:szCs w:val="20"/>
          <w:lang w:val="en-US"/>
        </w:rPr>
        <w:t xml:space="preserve"> to</w:t>
      </w:r>
      <w:r>
        <w:rPr>
          <w:rFonts w:ascii="Arial" w:hAnsi="Arial" w:cs="Arial"/>
          <w:i/>
          <w:sz w:val="20"/>
          <w:szCs w:val="20"/>
          <w:lang w:val="en-US"/>
        </w:rPr>
        <w:t xml:space="preserve"> produce</w:t>
      </w:r>
      <w:r w:rsidRPr="00EC5E5B">
        <w:rPr>
          <w:rFonts w:ascii="Arial" w:hAnsi="Arial" w:cs="Arial"/>
          <w:i/>
          <w:sz w:val="20"/>
          <w:szCs w:val="20"/>
          <w:lang w:val="en-US"/>
        </w:rPr>
        <w:t xml:space="preserve"> a more pragmatic and aggregated structure. In 2018, </w:t>
      </w:r>
      <w:proofErr w:type="spellStart"/>
      <w:r w:rsidRPr="00EC5E5B">
        <w:rPr>
          <w:rFonts w:ascii="Arial" w:hAnsi="Arial" w:cs="Arial"/>
          <w:i/>
          <w:sz w:val="20"/>
          <w:szCs w:val="20"/>
          <w:lang w:val="en-US"/>
        </w:rPr>
        <w:t>Brå</w:t>
      </w:r>
      <w:proofErr w:type="spellEnd"/>
      <w:r w:rsidRPr="00EC5E5B">
        <w:rPr>
          <w:rFonts w:ascii="Arial" w:hAnsi="Arial" w:cs="Arial"/>
          <w:i/>
          <w:sz w:val="20"/>
          <w:szCs w:val="20"/>
          <w:lang w:val="en-US"/>
        </w:rPr>
        <w:t xml:space="preserve"> published the first version of the new statistics, </w:t>
      </w:r>
      <w:r>
        <w:rPr>
          <w:rFonts w:ascii="Arial" w:hAnsi="Arial" w:cs="Arial"/>
          <w:i/>
          <w:sz w:val="20"/>
          <w:szCs w:val="20"/>
          <w:lang w:val="en-US"/>
        </w:rPr>
        <w:t xml:space="preserve">which </w:t>
      </w:r>
      <w:r w:rsidRPr="00EC5E5B">
        <w:rPr>
          <w:rFonts w:ascii="Arial" w:hAnsi="Arial" w:cs="Arial"/>
          <w:i/>
          <w:sz w:val="20"/>
          <w:szCs w:val="20"/>
          <w:lang w:val="en-US"/>
        </w:rPr>
        <w:t>contain</w:t>
      </w:r>
      <w:r>
        <w:rPr>
          <w:rFonts w:ascii="Arial" w:hAnsi="Arial" w:cs="Arial"/>
          <w:i/>
          <w:sz w:val="20"/>
          <w:szCs w:val="20"/>
          <w:lang w:val="en-US"/>
        </w:rPr>
        <w:t>ed</w:t>
      </w:r>
      <w:r w:rsidRPr="00EC5E5B">
        <w:rPr>
          <w:rFonts w:ascii="Arial" w:hAnsi="Arial" w:cs="Arial"/>
          <w:i/>
          <w:sz w:val="20"/>
          <w:szCs w:val="20"/>
          <w:lang w:val="en-US"/>
        </w:rPr>
        <w:t xml:space="preserve"> information on </w:t>
      </w:r>
      <w:r>
        <w:rPr>
          <w:rFonts w:ascii="Arial" w:hAnsi="Arial" w:cs="Arial"/>
          <w:i/>
          <w:sz w:val="20"/>
          <w:szCs w:val="20"/>
          <w:lang w:val="en-US"/>
        </w:rPr>
        <w:t>annual</w:t>
      </w:r>
      <w:r w:rsidRPr="00EC5E5B">
        <w:rPr>
          <w:rFonts w:ascii="Arial" w:hAnsi="Arial" w:cs="Arial"/>
          <w:i/>
          <w:sz w:val="20"/>
          <w:szCs w:val="20"/>
          <w:lang w:val="en-US"/>
        </w:rPr>
        <w:t xml:space="preserve"> volumes of reported offences and </w:t>
      </w:r>
      <w:r>
        <w:rPr>
          <w:rFonts w:ascii="Arial" w:hAnsi="Arial" w:cs="Arial"/>
          <w:i/>
          <w:sz w:val="20"/>
          <w:szCs w:val="20"/>
          <w:lang w:val="en-US"/>
        </w:rPr>
        <w:t xml:space="preserve">the </w:t>
      </w:r>
      <w:r w:rsidRPr="00EC5E5B">
        <w:rPr>
          <w:rFonts w:ascii="Arial" w:hAnsi="Arial" w:cs="Arial"/>
          <w:i/>
          <w:sz w:val="20"/>
          <w:szCs w:val="20"/>
          <w:lang w:val="en-US"/>
        </w:rPr>
        <w:t xml:space="preserve">suspects linked to those offences and </w:t>
      </w:r>
      <w:r>
        <w:rPr>
          <w:rFonts w:ascii="Arial" w:hAnsi="Arial" w:cs="Arial"/>
          <w:i/>
          <w:sz w:val="20"/>
          <w:szCs w:val="20"/>
          <w:lang w:val="en-US"/>
        </w:rPr>
        <w:t xml:space="preserve">other </w:t>
      </w:r>
      <w:r w:rsidRPr="00EC5E5B">
        <w:rPr>
          <w:rFonts w:ascii="Arial" w:hAnsi="Arial" w:cs="Arial"/>
          <w:i/>
          <w:sz w:val="20"/>
          <w:szCs w:val="20"/>
          <w:lang w:val="en-US"/>
        </w:rPr>
        <w:t xml:space="preserve">results, e.g. processing times and balances, </w:t>
      </w:r>
      <w:r>
        <w:rPr>
          <w:rFonts w:ascii="Arial" w:hAnsi="Arial" w:cs="Arial"/>
          <w:i/>
          <w:sz w:val="20"/>
          <w:szCs w:val="20"/>
          <w:lang w:val="en-US"/>
        </w:rPr>
        <w:t xml:space="preserve">relating to the process </w:t>
      </w:r>
      <w:r w:rsidRPr="00EC5E5B">
        <w:rPr>
          <w:rFonts w:ascii="Arial" w:hAnsi="Arial" w:cs="Arial"/>
          <w:i/>
          <w:sz w:val="20"/>
          <w:szCs w:val="20"/>
          <w:lang w:val="en-US"/>
        </w:rPr>
        <w:t xml:space="preserve">of handling these offences and suspects in </w:t>
      </w:r>
      <w:r>
        <w:rPr>
          <w:rFonts w:ascii="Arial" w:hAnsi="Arial" w:cs="Arial"/>
          <w:i/>
          <w:sz w:val="20"/>
          <w:szCs w:val="20"/>
          <w:lang w:val="en-US"/>
        </w:rPr>
        <w:t xml:space="preserve">the context </w:t>
      </w:r>
      <w:r w:rsidRPr="00EC5E5B">
        <w:rPr>
          <w:rFonts w:ascii="Arial" w:hAnsi="Arial" w:cs="Arial"/>
          <w:i/>
          <w:sz w:val="20"/>
          <w:szCs w:val="20"/>
          <w:lang w:val="en-US"/>
        </w:rPr>
        <w:t>of criminal investi</w:t>
      </w:r>
      <w:r>
        <w:rPr>
          <w:rFonts w:ascii="Arial" w:hAnsi="Arial" w:cs="Arial"/>
          <w:i/>
          <w:sz w:val="20"/>
          <w:szCs w:val="20"/>
          <w:lang w:val="en-US"/>
        </w:rPr>
        <w:t>gations.</w:t>
      </w:r>
    </w:p>
    <w:p w:rsidR="00DB4182" w:rsidRDefault="00C726EA" w:rsidP="00DB4182">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B177E1">
        <w:rPr>
          <w:rFonts w:ascii="Arial" w:hAnsi="Arial" w:cs="Arial"/>
          <w:sz w:val="20"/>
          <w:szCs w:val="20"/>
          <w:lang w:val="en-GB"/>
        </w:rPr>
        <w:t>Crime statistics</w:t>
      </w:r>
      <w:r w:rsidR="00B177E1" w:rsidRPr="00EC5F5A">
        <w:rPr>
          <w:rFonts w:ascii="Arial" w:hAnsi="Arial" w:cs="Arial"/>
          <w:sz w:val="20"/>
          <w:szCs w:val="20"/>
          <w:lang w:val="en-GB"/>
        </w:rPr>
        <w:t xml:space="preserve">, </w:t>
      </w:r>
      <w:r w:rsidR="00B177E1">
        <w:rPr>
          <w:rFonts w:ascii="Arial" w:hAnsi="Arial" w:cs="Arial"/>
          <w:sz w:val="20"/>
          <w:szCs w:val="20"/>
          <w:lang w:val="en-GB"/>
        </w:rPr>
        <w:t>standardized information-exchange</w:t>
      </w:r>
      <w:r w:rsidR="00B177E1" w:rsidRPr="00EC5F5A">
        <w:rPr>
          <w:rFonts w:ascii="Arial" w:hAnsi="Arial" w:cs="Arial"/>
          <w:sz w:val="20"/>
          <w:szCs w:val="20"/>
          <w:lang w:val="en-GB"/>
        </w:rPr>
        <w:t xml:space="preserve">, </w:t>
      </w:r>
      <w:r w:rsidR="00B177E1">
        <w:rPr>
          <w:rFonts w:ascii="Arial" w:hAnsi="Arial" w:cs="Arial"/>
          <w:sz w:val="20"/>
          <w:szCs w:val="20"/>
          <w:lang w:val="en-GB"/>
        </w:rPr>
        <w:t>legal process</w:t>
      </w:r>
      <w:r w:rsidR="00B177E1" w:rsidRPr="00EC5F5A">
        <w:rPr>
          <w:rFonts w:ascii="Arial" w:hAnsi="Arial" w:cs="Arial"/>
          <w:sz w:val="20"/>
          <w:szCs w:val="20"/>
          <w:lang w:val="en-GB"/>
        </w:rPr>
        <w:t xml:space="preserve">, </w:t>
      </w:r>
      <w:r w:rsidR="00B177E1">
        <w:rPr>
          <w:rFonts w:ascii="Arial" w:hAnsi="Arial" w:cs="Arial"/>
          <w:sz w:val="20"/>
          <w:szCs w:val="20"/>
          <w:lang w:val="en-GB"/>
        </w:rPr>
        <w:t>statistics development</w:t>
      </w:r>
    </w:p>
    <w:p w:rsidR="00B177E1" w:rsidRDefault="00B177E1">
      <w:pPr>
        <w:rPr>
          <w:rFonts w:ascii="Arial" w:hAnsi="Arial" w:cs="Arial"/>
          <w:b/>
          <w:sz w:val="24"/>
          <w:szCs w:val="24"/>
          <w:lang w:val="en-GB"/>
        </w:rPr>
      </w:pPr>
      <w:r>
        <w:rPr>
          <w:rFonts w:ascii="Arial" w:hAnsi="Arial" w:cs="Arial"/>
          <w:b/>
          <w:sz w:val="24"/>
          <w:szCs w:val="24"/>
          <w:lang w:val="en-GB"/>
        </w:rPr>
        <w:br w:type="page"/>
      </w:r>
    </w:p>
    <w:p w:rsidR="00B177E1" w:rsidRPr="0031262C" w:rsidRDefault="00B177E1" w:rsidP="00845EDF">
      <w:pPr>
        <w:pStyle w:val="Rubrik1"/>
        <w:numPr>
          <w:ilvl w:val="0"/>
          <w:numId w:val="3"/>
        </w:numPr>
        <w:spacing w:before="360" w:line="360" w:lineRule="auto"/>
        <w:rPr>
          <w:rFonts w:ascii="Arial" w:eastAsia="Times New Roman" w:hAnsi="Arial" w:cs="Arial"/>
          <w:color w:val="auto"/>
          <w:sz w:val="24"/>
          <w:szCs w:val="24"/>
          <w:lang w:val="en" w:eastAsia="sv-SE"/>
        </w:rPr>
      </w:pPr>
      <w:r w:rsidRPr="0031262C">
        <w:rPr>
          <w:rFonts w:ascii="Arial" w:eastAsia="Times New Roman" w:hAnsi="Arial" w:cs="Arial"/>
          <w:color w:val="auto"/>
          <w:sz w:val="24"/>
          <w:szCs w:val="24"/>
          <w:lang w:val="en" w:eastAsia="sv-SE"/>
        </w:rPr>
        <w:lastRenderedPageBreak/>
        <w:t>Background</w:t>
      </w:r>
    </w:p>
    <w:p w:rsidR="00B177E1" w:rsidRPr="0031262C" w:rsidRDefault="0034772D" w:rsidP="00845EDF">
      <w:pPr>
        <w:pStyle w:val="Rubrik2"/>
        <w:spacing w:before="360" w:line="360" w:lineRule="auto"/>
        <w:rPr>
          <w:rFonts w:ascii="Arial" w:eastAsia="Times New Roman" w:hAnsi="Arial" w:cs="Arial"/>
          <w:i/>
          <w:color w:val="auto"/>
          <w:sz w:val="24"/>
          <w:szCs w:val="24"/>
          <w:lang w:val="en" w:eastAsia="sv-SE"/>
        </w:rPr>
      </w:pPr>
      <w:r>
        <w:rPr>
          <w:rFonts w:ascii="Arial" w:eastAsia="Times New Roman" w:hAnsi="Arial" w:cs="Arial"/>
          <w:i/>
          <w:color w:val="auto"/>
          <w:sz w:val="24"/>
          <w:szCs w:val="24"/>
          <w:lang w:val="en" w:eastAsia="sv-SE"/>
        </w:rPr>
        <w:t xml:space="preserve">1.1 </w:t>
      </w:r>
      <w:r w:rsidR="00B177E1" w:rsidRPr="0031262C">
        <w:rPr>
          <w:rFonts w:ascii="Arial" w:eastAsia="Times New Roman" w:hAnsi="Arial" w:cs="Arial"/>
          <w:i/>
          <w:color w:val="auto"/>
          <w:sz w:val="24"/>
          <w:szCs w:val="24"/>
          <w:lang w:val="en" w:eastAsia="sv-SE"/>
        </w:rPr>
        <w:t>A digitally linked criminal justice system</w:t>
      </w:r>
    </w:p>
    <w:p w:rsidR="00B177E1" w:rsidRPr="0031262C" w:rsidRDefault="00B177E1" w:rsidP="00165F4E">
      <w:pPr>
        <w:spacing w:before="120" w:after="0" w:line="360" w:lineRule="auto"/>
        <w:jc w:val="both"/>
        <w:rPr>
          <w:rFonts w:ascii="Arial" w:hAnsi="Arial" w:cs="Arial"/>
          <w:sz w:val="24"/>
          <w:szCs w:val="24"/>
          <w:lang w:val="en" w:eastAsia="sv-SE"/>
        </w:rPr>
      </w:pPr>
      <w:r w:rsidRPr="0031262C">
        <w:rPr>
          <w:rFonts w:ascii="Arial" w:hAnsi="Arial" w:cs="Arial"/>
          <w:sz w:val="24"/>
          <w:szCs w:val="24"/>
          <w:lang w:val="en" w:eastAsia="sv-SE"/>
        </w:rPr>
        <w:t xml:space="preserve">In order to meet the challenges that the criminal justice system was facing – whose ultimate goal is to ensure the safety of citizens and reduce the number of crimes – a more efficient handling of criminal cases was required </w:t>
      </w:r>
      <w:r w:rsidRPr="006E13BE">
        <w:rPr>
          <w:rFonts w:ascii="Arial" w:hAnsi="Arial" w:cs="Arial"/>
          <w:sz w:val="24"/>
          <w:szCs w:val="24"/>
          <w:lang w:val="en" w:eastAsia="sv-SE"/>
        </w:rPr>
        <w:t>(</w:t>
      </w:r>
      <w:proofErr w:type="spellStart"/>
      <w:r w:rsidR="006E13BE">
        <w:rPr>
          <w:rFonts w:ascii="Arial" w:hAnsi="Arial" w:cs="Arial"/>
          <w:sz w:val="24"/>
          <w:szCs w:val="24"/>
          <w:lang w:val="en" w:eastAsia="sv-SE"/>
        </w:rPr>
        <w:t>Justitiedepartementet</w:t>
      </w:r>
      <w:proofErr w:type="spellEnd"/>
      <w:r w:rsidR="00E25E65">
        <w:rPr>
          <w:rFonts w:ascii="Arial" w:hAnsi="Arial" w:cs="Arial"/>
          <w:sz w:val="24"/>
          <w:szCs w:val="24"/>
          <w:lang w:val="en" w:eastAsia="sv-SE"/>
        </w:rPr>
        <w:t>,</w:t>
      </w:r>
      <w:r w:rsidR="006E13BE" w:rsidRPr="006E13BE">
        <w:rPr>
          <w:rFonts w:ascii="Arial" w:hAnsi="Arial" w:cs="Arial"/>
          <w:sz w:val="24"/>
          <w:szCs w:val="24"/>
          <w:lang w:val="en" w:eastAsia="sv-SE"/>
        </w:rPr>
        <w:t xml:space="preserve"> 2014</w:t>
      </w:r>
      <w:r w:rsidRPr="006E13BE">
        <w:rPr>
          <w:rFonts w:ascii="Arial" w:hAnsi="Arial" w:cs="Arial"/>
          <w:sz w:val="24"/>
          <w:szCs w:val="24"/>
          <w:lang w:val="en" w:eastAsia="sv-SE"/>
        </w:rPr>
        <w:t>)</w:t>
      </w:r>
      <w:r w:rsidR="00324BFB">
        <w:rPr>
          <w:rStyle w:val="Fotnotsreferens"/>
          <w:rFonts w:ascii="Arial" w:hAnsi="Arial" w:cs="Arial"/>
          <w:sz w:val="24"/>
          <w:szCs w:val="24"/>
          <w:lang w:val="en" w:eastAsia="sv-SE"/>
        </w:rPr>
        <w:footnoteReference w:id="1"/>
      </w:r>
      <w:r w:rsidRPr="0031262C">
        <w:rPr>
          <w:rFonts w:ascii="Arial" w:hAnsi="Arial" w:cs="Arial"/>
          <w:sz w:val="24"/>
          <w:szCs w:val="24"/>
          <w:lang w:val="en" w:eastAsia="sv-SE"/>
        </w:rPr>
        <w:t xml:space="preserve">. A decade ago, as part of achieving this goal, the Swedish government instructed the authorities of the criminal justice system to jointly develop practices focused on the handling of criminal offences with a specific focus on </w:t>
      </w:r>
      <w:r w:rsidRPr="0031262C">
        <w:rPr>
          <w:rFonts w:ascii="Arial" w:hAnsi="Arial" w:cs="Arial"/>
          <w:i/>
          <w:sz w:val="24"/>
          <w:szCs w:val="24"/>
          <w:lang w:val="en" w:eastAsia="sv-SE"/>
        </w:rPr>
        <w:t>efficiency</w:t>
      </w:r>
      <w:r w:rsidRPr="0031262C">
        <w:rPr>
          <w:rFonts w:ascii="Arial" w:hAnsi="Arial" w:cs="Arial"/>
          <w:sz w:val="24"/>
          <w:szCs w:val="24"/>
          <w:lang w:val="en" w:eastAsia="sv-SE"/>
        </w:rPr>
        <w:t xml:space="preserve">, </w:t>
      </w:r>
      <w:r w:rsidRPr="0031262C">
        <w:rPr>
          <w:rFonts w:ascii="Arial" w:hAnsi="Arial" w:cs="Arial"/>
          <w:i/>
          <w:sz w:val="24"/>
          <w:szCs w:val="24"/>
          <w:lang w:val="en" w:eastAsia="sv-SE"/>
        </w:rPr>
        <w:t>quality</w:t>
      </w:r>
      <w:r w:rsidRPr="0031262C">
        <w:rPr>
          <w:rFonts w:ascii="Arial" w:hAnsi="Arial" w:cs="Arial"/>
          <w:sz w:val="24"/>
          <w:szCs w:val="24"/>
          <w:lang w:val="en" w:eastAsia="sv-SE"/>
        </w:rPr>
        <w:t xml:space="preserve"> and </w:t>
      </w:r>
      <w:r w:rsidRPr="0031262C">
        <w:rPr>
          <w:rFonts w:ascii="Arial" w:hAnsi="Arial" w:cs="Arial"/>
          <w:i/>
          <w:sz w:val="24"/>
          <w:szCs w:val="24"/>
          <w:lang w:val="en" w:eastAsia="sv-SE"/>
        </w:rPr>
        <w:t xml:space="preserve">legal </w:t>
      </w:r>
      <w:r w:rsidR="005F6882">
        <w:rPr>
          <w:rFonts w:ascii="Arial" w:hAnsi="Arial" w:cs="Arial"/>
          <w:i/>
          <w:sz w:val="24"/>
          <w:szCs w:val="24"/>
          <w:lang w:val="en" w:eastAsia="sv-SE"/>
        </w:rPr>
        <w:t>certainty</w:t>
      </w:r>
      <w:r w:rsidRPr="0031262C">
        <w:rPr>
          <w:rFonts w:ascii="Arial" w:hAnsi="Arial" w:cs="Arial"/>
          <w:i/>
          <w:sz w:val="24"/>
          <w:szCs w:val="24"/>
          <w:lang w:val="en" w:eastAsia="sv-SE"/>
        </w:rPr>
        <w:t xml:space="preserve"> </w:t>
      </w:r>
      <w:r w:rsidRPr="006E13BE">
        <w:rPr>
          <w:rFonts w:ascii="Arial" w:hAnsi="Arial" w:cs="Arial"/>
          <w:sz w:val="24"/>
          <w:szCs w:val="24"/>
          <w:lang w:val="en" w:eastAsia="sv-SE"/>
        </w:rPr>
        <w:t>(</w:t>
      </w:r>
      <w:proofErr w:type="spellStart"/>
      <w:r w:rsidR="006E13BE">
        <w:rPr>
          <w:rFonts w:ascii="Arial" w:hAnsi="Arial" w:cs="Arial"/>
          <w:sz w:val="24"/>
          <w:szCs w:val="24"/>
          <w:lang w:val="en" w:eastAsia="sv-SE"/>
        </w:rPr>
        <w:t>Justitiedepartementet</w:t>
      </w:r>
      <w:proofErr w:type="spellEnd"/>
      <w:r w:rsidR="00E25E65">
        <w:rPr>
          <w:rFonts w:ascii="Arial" w:hAnsi="Arial" w:cs="Arial"/>
          <w:sz w:val="24"/>
          <w:szCs w:val="24"/>
          <w:lang w:val="en" w:eastAsia="sv-SE"/>
        </w:rPr>
        <w:t>,</w:t>
      </w:r>
      <w:r w:rsidR="006E13BE" w:rsidRPr="006E13BE">
        <w:rPr>
          <w:rFonts w:ascii="Arial" w:hAnsi="Arial" w:cs="Arial"/>
          <w:sz w:val="24"/>
          <w:szCs w:val="24"/>
          <w:lang w:val="en" w:eastAsia="sv-SE"/>
        </w:rPr>
        <w:t xml:space="preserve"> 2014</w:t>
      </w:r>
      <w:r w:rsidRPr="006E13BE">
        <w:rPr>
          <w:rFonts w:ascii="Arial" w:hAnsi="Arial" w:cs="Arial"/>
          <w:sz w:val="24"/>
          <w:szCs w:val="24"/>
          <w:lang w:val="en" w:eastAsia="sv-SE"/>
        </w:rPr>
        <w:t>)</w:t>
      </w:r>
      <w:r w:rsidRPr="0031262C">
        <w:rPr>
          <w:rFonts w:ascii="Arial" w:hAnsi="Arial" w:cs="Arial"/>
          <w:i/>
          <w:sz w:val="24"/>
          <w:szCs w:val="24"/>
          <w:lang w:val="en" w:eastAsia="sv-SE"/>
        </w:rPr>
        <w:t>.</w:t>
      </w:r>
      <w:r w:rsidRPr="0031262C">
        <w:rPr>
          <w:rFonts w:ascii="Arial" w:hAnsi="Arial" w:cs="Arial"/>
          <w:sz w:val="24"/>
          <w:szCs w:val="24"/>
          <w:lang w:val="en" w:eastAsia="sv-SE"/>
        </w:rPr>
        <w:t xml:space="preserve"> The instructions meant that the authorities concerned, using information technology (IT), were to improve their information exchange in relation to the management of criminal offences</w:t>
      </w:r>
      <w:r w:rsidRPr="0031262C">
        <w:rPr>
          <w:rFonts w:ascii="Arial" w:hAnsi="Arial" w:cs="Arial"/>
          <w:i/>
          <w:sz w:val="24"/>
          <w:szCs w:val="24"/>
          <w:lang w:val="en" w:eastAsia="sv-SE"/>
        </w:rPr>
        <w:t>.</w:t>
      </w:r>
      <w:r w:rsidRPr="0031262C">
        <w:rPr>
          <w:rFonts w:ascii="Arial" w:hAnsi="Arial" w:cs="Arial"/>
          <w:sz w:val="24"/>
          <w:szCs w:val="24"/>
          <w:lang w:val="en" w:eastAsia="sv-SE"/>
        </w:rPr>
        <w:t xml:space="preserve"> In addition, the aim was to create a better foundation for </w:t>
      </w:r>
      <w:r w:rsidRPr="0031262C">
        <w:rPr>
          <w:rFonts w:ascii="Arial" w:hAnsi="Arial" w:cs="Arial"/>
          <w:i/>
          <w:sz w:val="24"/>
          <w:szCs w:val="24"/>
          <w:lang w:val="en" w:eastAsia="sv-SE"/>
        </w:rPr>
        <w:t>knowledge</w:t>
      </w:r>
      <w:r w:rsidRPr="0031262C">
        <w:rPr>
          <w:rFonts w:ascii="Arial" w:hAnsi="Arial" w:cs="Arial"/>
          <w:sz w:val="24"/>
          <w:szCs w:val="24"/>
          <w:lang w:val="en" w:eastAsia="sv-SE"/>
        </w:rPr>
        <w:t xml:space="preserve">, </w:t>
      </w:r>
      <w:r w:rsidRPr="0031262C">
        <w:rPr>
          <w:rFonts w:ascii="Arial" w:hAnsi="Arial" w:cs="Arial"/>
          <w:i/>
          <w:sz w:val="24"/>
          <w:szCs w:val="24"/>
          <w:lang w:val="en" w:eastAsia="sv-SE"/>
        </w:rPr>
        <w:t>analysis</w:t>
      </w:r>
      <w:r w:rsidRPr="0031262C">
        <w:rPr>
          <w:rFonts w:ascii="Arial" w:hAnsi="Arial" w:cs="Arial"/>
          <w:sz w:val="24"/>
          <w:szCs w:val="24"/>
          <w:lang w:val="en" w:eastAsia="sv-SE"/>
        </w:rPr>
        <w:t xml:space="preserve"> and </w:t>
      </w:r>
      <w:r w:rsidRPr="0031262C">
        <w:rPr>
          <w:rFonts w:ascii="Arial" w:hAnsi="Arial" w:cs="Arial"/>
          <w:i/>
          <w:sz w:val="24"/>
          <w:szCs w:val="24"/>
          <w:lang w:val="en" w:eastAsia="sv-SE"/>
        </w:rPr>
        <w:t>follow-up</w:t>
      </w:r>
      <w:r w:rsidRPr="0031262C">
        <w:rPr>
          <w:rFonts w:ascii="Arial" w:hAnsi="Arial" w:cs="Arial"/>
          <w:sz w:val="24"/>
          <w:szCs w:val="24"/>
          <w:lang w:val="en" w:eastAsia="sv-SE"/>
        </w:rPr>
        <w:t xml:space="preserve"> within the criminal justice system. It was argued that when a criminal case can be followed electronically through the criminal justice process, information can be produced and analyzed in ways that had not previously been possible </w:t>
      </w:r>
      <w:r w:rsidRPr="006E13BE">
        <w:rPr>
          <w:rFonts w:ascii="Arial" w:hAnsi="Arial" w:cs="Arial"/>
          <w:sz w:val="24"/>
          <w:szCs w:val="24"/>
          <w:lang w:val="en" w:eastAsia="sv-SE"/>
        </w:rPr>
        <w:t>(</w:t>
      </w:r>
      <w:proofErr w:type="spellStart"/>
      <w:r w:rsidR="006E13BE">
        <w:rPr>
          <w:rFonts w:ascii="Arial" w:hAnsi="Arial" w:cs="Arial"/>
          <w:sz w:val="24"/>
          <w:szCs w:val="24"/>
          <w:lang w:val="en" w:eastAsia="sv-SE"/>
        </w:rPr>
        <w:t>Justitiedepartementet</w:t>
      </w:r>
      <w:proofErr w:type="spellEnd"/>
      <w:r w:rsidR="00E25E65">
        <w:rPr>
          <w:rFonts w:ascii="Arial" w:hAnsi="Arial" w:cs="Arial"/>
          <w:sz w:val="24"/>
          <w:szCs w:val="24"/>
          <w:lang w:val="en" w:eastAsia="sv-SE"/>
        </w:rPr>
        <w:t>,</w:t>
      </w:r>
      <w:r w:rsidR="006E13BE" w:rsidRPr="006E13BE">
        <w:rPr>
          <w:rFonts w:ascii="Arial" w:hAnsi="Arial" w:cs="Arial"/>
          <w:sz w:val="24"/>
          <w:szCs w:val="24"/>
          <w:lang w:val="en" w:eastAsia="sv-SE"/>
        </w:rPr>
        <w:t xml:space="preserve"> 2014</w:t>
      </w:r>
      <w:r w:rsidRPr="006E13BE">
        <w:rPr>
          <w:rFonts w:ascii="Arial" w:hAnsi="Arial" w:cs="Arial"/>
          <w:sz w:val="24"/>
          <w:szCs w:val="24"/>
          <w:lang w:val="en" w:eastAsia="sv-SE"/>
        </w:rPr>
        <w:t>)</w:t>
      </w:r>
      <w:r w:rsidRPr="0031262C">
        <w:rPr>
          <w:rFonts w:ascii="Arial" w:hAnsi="Arial" w:cs="Arial"/>
          <w:sz w:val="24"/>
          <w:szCs w:val="24"/>
          <w:lang w:val="en" w:eastAsia="sv-SE"/>
        </w:rPr>
        <w:t>. In this way, new conditions would be created to streamline the handling of criminal cases and to introduce more knowledge-based law enforcement.</w:t>
      </w:r>
    </w:p>
    <w:p w:rsidR="00B177E1" w:rsidRPr="0031262C" w:rsidRDefault="0034772D" w:rsidP="00845EDF">
      <w:pPr>
        <w:pStyle w:val="Rubrik2"/>
        <w:spacing w:before="360" w:line="360" w:lineRule="auto"/>
        <w:rPr>
          <w:rFonts w:ascii="Arial" w:eastAsia="Times New Roman" w:hAnsi="Arial" w:cs="Arial"/>
          <w:i/>
          <w:color w:val="auto"/>
          <w:sz w:val="24"/>
          <w:szCs w:val="24"/>
          <w:lang w:val="en" w:eastAsia="sv-SE"/>
        </w:rPr>
      </w:pPr>
      <w:r>
        <w:rPr>
          <w:rFonts w:ascii="Arial" w:eastAsia="Times New Roman" w:hAnsi="Arial" w:cs="Arial"/>
          <w:i/>
          <w:color w:val="auto"/>
          <w:sz w:val="24"/>
          <w:szCs w:val="24"/>
          <w:lang w:val="en" w:eastAsia="sv-SE"/>
        </w:rPr>
        <w:t xml:space="preserve">1.2 </w:t>
      </w:r>
      <w:r w:rsidR="00B177E1" w:rsidRPr="0031262C">
        <w:rPr>
          <w:rFonts w:ascii="Arial" w:eastAsia="Times New Roman" w:hAnsi="Arial" w:cs="Arial"/>
          <w:i/>
          <w:color w:val="auto"/>
          <w:sz w:val="24"/>
          <w:szCs w:val="24"/>
          <w:lang w:val="en" w:eastAsia="sv-SE"/>
        </w:rPr>
        <w:t>Distribution of the new digital information in the judicial process</w:t>
      </w:r>
    </w:p>
    <w:p w:rsidR="00B177E1" w:rsidRPr="0031262C" w:rsidRDefault="00B177E1" w:rsidP="00165F4E">
      <w:pPr>
        <w:spacing w:before="120" w:after="0" w:line="360" w:lineRule="auto"/>
        <w:jc w:val="both"/>
        <w:rPr>
          <w:rFonts w:ascii="Arial" w:hAnsi="Arial" w:cs="Arial"/>
          <w:sz w:val="24"/>
          <w:szCs w:val="24"/>
          <w:lang w:val="en" w:eastAsia="sv-SE"/>
        </w:rPr>
      </w:pPr>
      <w:r w:rsidRPr="0031262C">
        <w:rPr>
          <w:rFonts w:ascii="Arial" w:hAnsi="Arial" w:cs="Arial"/>
          <w:sz w:val="24"/>
          <w:szCs w:val="24"/>
          <w:lang w:val="en" w:eastAsia="sv-SE"/>
        </w:rPr>
        <w:t xml:space="preserve">The establishment of the criminal justice system's information exchange is organized by means of a collaboration between eleven law enforcement agencies: the Swedish National Council for Crime Prevention, the Swedish Crime Victim Compensation and Support Authority, the Swedish Courts, the Swedish Economic Crime Authority, the Swedish Prison and Probation Service, the Coast Guard, the Swedish Police Authority, the Forensic Agency, the Swedish Tax Agency, Swedish Customs and the Swedish Prosecution Authority </w:t>
      </w:r>
      <w:r w:rsidRPr="006E13BE">
        <w:rPr>
          <w:rFonts w:ascii="Arial" w:hAnsi="Arial" w:cs="Arial"/>
          <w:sz w:val="24"/>
          <w:szCs w:val="24"/>
          <w:lang w:val="en" w:eastAsia="sv-SE"/>
        </w:rPr>
        <w:t>(</w:t>
      </w:r>
      <w:proofErr w:type="spellStart"/>
      <w:r w:rsidR="006E13BE">
        <w:rPr>
          <w:rFonts w:ascii="Arial" w:hAnsi="Arial" w:cs="Arial"/>
          <w:sz w:val="24"/>
          <w:szCs w:val="24"/>
          <w:lang w:val="en" w:eastAsia="sv-SE"/>
        </w:rPr>
        <w:t>Justitiedepartementet</w:t>
      </w:r>
      <w:proofErr w:type="spellEnd"/>
      <w:r w:rsidR="00E25E65">
        <w:rPr>
          <w:rFonts w:ascii="Arial" w:hAnsi="Arial" w:cs="Arial"/>
          <w:sz w:val="24"/>
          <w:szCs w:val="24"/>
          <w:lang w:val="en" w:eastAsia="sv-SE"/>
        </w:rPr>
        <w:t>,</w:t>
      </w:r>
      <w:r w:rsidR="006E13BE" w:rsidRPr="006E13BE">
        <w:rPr>
          <w:rFonts w:ascii="Arial" w:hAnsi="Arial" w:cs="Arial"/>
          <w:sz w:val="24"/>
          <w:szCs w:val="24"/>
          <w:lang w:val="en" w:eastAsia="sv-SE"/>
        </w:rPr>
        <w:t xml:space="preserve"> 2014</w:t>
      </w:r>
      <w:r w:rsidRPr="006E13BE">
        <w:rPr>
          <w:rFonts w:ascii="Arial" w:hAnsi="Arial" w:cs="Arial"/>
          <w:sz w:val="24"/>
          <w:szCs w:val="24"/>
          <w:lang w:val="en" w:eastAsia="sv-SE"/>
        </w:rPr>
        <w:t>)</w:t>
      </w:r>
      <w:r w:rsidRPr="0031262C">
        <w:rPr>
          <w:rFonts w:ascii="Arial" w:hAnsi="Arial" w:cs="Arial"/>
          <w:sz w:val="24"/>
          <w:szCs w:val="24"/>
          <w:lang w:val="en" w:eastAsia="sv-SE"/>
        </w:rPr>
        <w:t xml:space="preserve">. Some of </w:t>
      </w:r>
      <w:proofErr w:type="gramStart"/>
      <w:r w:rsidRPr="0031262C">
        <w:rPr>
          <w:rFonts w:ascii="Arial" w:hAnsi="Arial" w:cs="Arial"/>
          <w:sz w:val="24"/>
          <w:szCs w:val="24"/>
          <w:lang w:val="en" w:eastAsia="sv-SE"/>
        </w:rPr>
        <w:t>these</w:t>
      </w:r>
      <w:proofErr w:type="gramEnd"/>
      <w:r w:rsidRPr="0031262C">
        <w:rPr>
          <w:rFonts w:ascii="Arial" w:hAnsi="Arial" w:cs="Arial"/>
          <w:sz w:val="24"/>
          <w:szCs w:val="24"/>
          <w:lang w:val="en" w:eastAsia="sv-SE"/>
        </w:rPr>
        <w:t xml:space="preserve"> agencies´ participation is relatively peripheral. The main collaboration includes five authorities: the Swedish National Council for Crime Prevention, the Swedish Police Authority, the Swedish Prosecution Authority, the Swedish Courts and the Swedish Prison and Probation Service. This collaboration goes under the acronym RIF.</w:t>
      </w:r>
    </w:p>
    <w:p w:rsidR="00B177E1" w:rsidRPr="0031262C" w:rsidRDefault="0034772D" w:rsidP="00845EDF">
      <w:pPr>
        <w:pStyle w:val="Rubrik2"/>
        <w:spacing w:before="360" w:line="360" w:lineRule="auto"/>
        <w:rPr>
          <w:rFonts w:ascii="Arial" w:eastAsia="Times New Roman" w:hAnsi="Arial" w:cs="Arial"/>
          <w:i/>
          <w:color w:val="auto"/>
          <w:sz w:val="24"/>
          <w:szCs w:val="24"/>
          <w:lang w:val="en" w:eastAsia="sv-SE"/>
        </w:rPr>
      </w:pPr>
      <w:r>
        <w:rPr>
          <w:rFonts w:ascii="Arial" w:eastAsia="Times New Roman" w:hAnsi="Arial" w:cs="Arial"/>
          <w:i/>
          <w:color w:val="auto"/>
          <w:sz w:val="24"/>
          <w:szCs w:val="24"/>
          <w:lang w:val="en" w:eastAsia="sv-SE"/>
        </w:rPr>
        <w:lastRenderedPageBreak/>
        <w:t xml:space="preserve">1.3 </w:t>
      </w:r>
      <w:r w:rsidR="00B177E1" w:rsidRPr="0031262C">
        <w:rPr>
          <w:rFonts w:ascii="Arial" w:eastAsia="Times New Roman" w:hAnsi="Arial" w:cs="Arial"/>
          <w:i/>
          <w:color w:val="auto"/>
          <w:sz w:val="24"/>
          <w:szCs w:val="24"/>
          <w:lang w:val="en" w:eastAsia="sv-SE"/>
        </w:rPr>
        <w:t>Management of criminal cases</w:t>
      </w:r>
    </w:p>
    <w:p w:rsidR="00B177E1" w:rsidRPr="0031262C" w:rsidRDefault="00B177E1" w:rsidP="00165F4E">
      <w:pPr>
        <w:spacing w:before="120" w:after="0" w:line="360" w:lineRule="auto"/>
        <w:jc w:val="both"/>
        <w:rPr>
          <w:rFonts w:ascii="Arial" w:hAnsi="Arial" w:cs="Arial"/>
          <w:sz w:val="24"/>
          <w:szCs w:val="24"/>
          <w:lang w:val="en" w:eastAsia="sv-SE"/>
        </w:rPr>
      </w:pPr>
      <w:r w:rsidRPr="0031262C">
        <w:rPr>
          <w:rFonts w:ascii="Arial" w:hAnsi="Arial" w:cs="Arial"/>
          <w:sz w:val="24"/>
          <w:szCs w:val="24"/>
          <w:lang w:val="en" w:eastAsia="sv-SE"/>
        </w:rPr>
        <w:t xml:space="preserve">Every year, large numbers of criminal cases are handled by the authorities of </w:t>
      </w:r>
      <w:r w:rsidR="001B3041">
        <w:rPr>
          <w:rFonts w:ascii="Arial" w:hAnsi="Arial" w:cs="Arial"/>
          <w:sz w:val="24"/>
          <w:szCs w:val="24"/>
          <w:lang w:val="en" w:eastAsia="sv-SE"/>
        </w:rPr>
        <w:t xml:space="preserve">the </w:t>
      </w:r>
      <w:r w:rsidRPr="0031262C">
        <w:rPr>
          <w:rFonts w:ascii="Arial" w:hAnsi="Arial" w:cs="Arial"/>
          <w:sz w:val="24"/>
          <w:szCs w:val="24"/>
          <w:lang w:val="en" w:eastAsia="sv-SE"/>
        </w:rPr>
        <w:t>criminal justice system. Criminal proceedings begin wh</w:t>
      </w:r>
      <w:r w:rsidR="008F3F40">
        <w:rPr>
          <w:rFonts w:ascii="Arial" w:hAnsi="Arial" w:cs="Arial"/>
          <w:sz w:val="24"/>
          <w:szCs w:val="24"/>
          <w:lang w:val="en" w:eastAsia="sv-SE"/>
        </w:rPr>
        <w:t xml:space="preserve">en </w:t>
      </w:r>
      <w:r w:rsidRPr="0031262C">
        <w:rPr>
          <w:rFonts w:ascii="Arial" w:hAnsi="Arial" w:cs="Arial"/>
          <w:sz w:val="24"/>
          <w:szCs w:val="24"/>
          <w:lang w:val="en" w:eastAsia="sv-SE"/>
        </w:rPr>
        <w:t>a criminal offense</w:t>
      </w:r>
      <w:r w:rsidR="008F3F40">
        <w:rPr>
          <w:rFonts w:ascii="Arial" w:hAnsi="Arial" w:cs="Arial"/>
          <w:sz w:val="24"/>
          <w:szCs w:val="24"/>
          <w:lang w:val="en" w:eastAsia="sv-SE"/>
        </w:rPr>
        <w:t xml:space="preserve"> is reported</w:t>
      </w:r>
      <w:r w:rsidRPr="0031262C">
        <w:rPr>
          <w:rFonts w:ascii="Arial" w:hAnsi="Arial" w:cs="Arial"/>
          <w:sz w:val="24"/>
          <w:szCs w:val="24"/>
          <w:lang w:val="en" w:eastAsia="sv-SE"/>
        </w:rPr>
        <w:t xml:space="preserve">. Subsequently, investigative authorities conduct an investigation, which results in a preliminary investigation protocol. If there are sufficient grounds for a prosecution, the prosecutor submits an indictment to the court, and the case is tried. The court announces its judgment and the correctional service makes an enforcement decision. By replacing the paper-based, manual exchange of information with an </w:t>
      </w:r>
      <w:r w:rsidRPr="0031262C">
        <w:rPr>
          <w:rFonts w:ascii="Arial" w:hAnsi="Arial" w:cs="Arial"/>
          <w:i/>
          <w:sz w:val="24"/>
          <w:szCs w:val="24"/>
          <w:lang w:val="en" w:eastAsia="sv-SE"/>
        </w:rPr>
        <w:t>electronic, standardized</w:t>
      </w:r>
      <w:r w:rsidRPr="0031262C">
        <w:rPr>
          <w:rFonts w:ascii="Arial" w:hAnsi="Arial" w:cs="Arial"/>
          <w:sz w:val="24"/>
          <w:szCs w:val="24"/>
          <w:lang w:val="en" w:eastAsia="sv-SE"/>
        </w:rPr>
        <w:t xml:space="preserve"> information exchange, the processing of criminal cases becomes more effective. The digitalization and standardization of the information exchange in the criminal justice process also creates opportunities for better control and more efficient use of resources in the justice system </w:t>
      </w:r>
      <w:r w:rsidRPr="006E13BE">
        <w:rPr>
          <w:rFonts w:ascii="Arial" w:hAnsi="Arial" w:cs="Arial"/>
          <w:sz w:val="24"/>
          <w:szCs w:val="24"/>
          <w:lang w:val="en" w:eastAsia="sv-SE"/>
        </w:rPr>
        <w:t>(</w:t>
      </w:r>
      <w:proofErr w:type="spellStart"/>
      <w:r w:rsidR="006E13BE">
        <w:rPr>
          <w:rFonts w:ascii="Arial" w:hAnsi="Arial" w:cs="Arial"/>
          <w:sz w:val="24"/>
          <w:szCs w:val="24"/>
          <w:lang w:val="en" w:eastAsia="sv-SE"/>
        </w:rPr>
        <w:t>Justitiedepartementet</w:t>
      </w:r>
      <w:proofErr w:type="spellEnd"/>
      <w:r w:rsidR="00E25E65">
        <w:rPr>
          <w:rFonts w:ascii="Arial" w:hAnsi="Arial" w:cs="Arial"/>
          <w:sz w:val="24"/>
          <w:szCs w:val="24"/>
          <w:lang w:val="en" w:eastAsia="sv-SE"/>
        </w:rPr>
        <w:t>,</w:t>
      </w:r>
      <w:r w:rsidR="006E13BE" w:rsidRPr="006E13BE">
        <w:rPr>
          <w:rFonts w:ascii="Arial" w:hAnsi="Arial" w:cs="Arial"/>
          <w:sz w:val="24"/>
          <w:szCs w:val="24"/>
          <w:lang w:val="en" w:eastAsia="sv-SE"/>
        </w:rPr>
        <w:t xml:space="preserve"> 2014</w:t>
      </w:r>
      <w:r w:rsidRPr="006E13BE">
        <w:rPr>
          <w:rFonts w:ascii="Arial" w:hAnsi="Arial" w:cs="Arial"/>
          <w:sz w:val="24"/>
          <w:szCs w:val="24"/>
          <w:lang w:val="en" w:eastAsia="sv-SE"/>
        </w:rPr>
        <w:t>)</w:t>
      </w:r>
      <w:r w:rsidRPr="0031262C">
        <w:rPr>
          <w:rFonts w:ascii="Arial" w:hAnsi="Arial" w:cs="Arial"/>
          <w:sz w:val="24"/>
          <w:szCs w:val="24"/>
          <w:lang w:val="en" w:eastAsia="sv-SE"/>
        </w:rPr>
        <w:t xml:space="preserve">. Moreover, it makes it possible to trace a reported and registered crime, and its related information on its path through the entire criminal justice system. Hence, </w:t>
      </w:r>
      <w:r w:rsidRPr="00334AFB">
        <w:rPr>
          <w:rFonts w:ascii="Arial" w:hAnsi="Arial" w:cs="Arial"/>
          <w:i/>
          <w:sz w:val="24"/>
          <w:szCs w:val="24"/>
          <w:lang w:val="en" w:eastAsia="sv-SE"/>
        </w:rPr>
        <w:t>traceability</w:t>
      </w:r>
      <w:r w:rsidRPr="0031262C">
        <w:rPr>
          <w:rFonts w:ascii="Arial" w:hAnsi="Arial" w:cs="Arial"/>
          <w:sz w:val="24"/>
          <w:szCs w:val="24"/>
          <w:lang w:val="en" w:eastAsia="sv-SE"/>
        </w:rPr>
        <w:t xml:space="preserve"> becomes a key factor </w:t>
      </w:r>
      <w:r w:rsidRPr="006E13BE">
        <w:rPr>
          <w:rFonts w:ascii="Arial" w:hAnsi="Arial" w:cs="Arial"/>
          <w:sz w:val="24"/>
          <w:szCs w:val="24"/>
          <w:lang w:val="en" w:eastAsia="sv-SE"/>
        </w:rPr>
        <w:t>(</w:t>
      </w:r>
      <w:proofErr w:type="spellStart"/>
      <w:r w:rsidR="006E13BE">
        <w:rPr>
          <w:rFonts w:ascii="Arial" w:hAnsi="Arial" w:cs="Arial"/>
          <w:sz w:val="24"/>
          <w:szCs w:val="24"/>
          <w:lang w:val="en" w:eastAsia="sv-SE"/>
        </w:rPr>
        <w:t>Justitiedepartementet</w:t>
      </w:r>
      <w:proofErr w:type="spellEnd"/>
      <w:r w:rsidR="00E25E65">
        <w:rPr>
          <w:rFonts w:ascii="Arial" w:hAnsi="Arial" w:cs="Arial"/>
          <w:sz w:val="24"/>
          <w:szCs w:val="24"/>
          <w:lang w:val="en" w:eastAsia="sv-SE"/>
        </w:rPr>
        <w:t>,</w:t>
      </w:r>
      <w:r w:rsidR="006E13BE" w:rsidRPr="006E13BE">
        <w:rPr>
          <w:rFonts w:ascii="Arial" w:hAnsi="Arial" w:cs="Arial"/>
          <w:sz w:val="24"/>
          <w:szCs w:val="24"/>
          <w:lang w:val="en" w:eastAsia="sv-SE"/>
        </w:rPr>
        <w:t xml:space="preserve"> 2014</w:t>
      </w:r>
      <w:r w:rsidRPr="006E13BE">
        <w:rPr>
          <w:rFonts w:ascii="Arial" w:hAnsi="Arial" w:cs="Arial"/>
          <w:sz w:val="24"/>
          <w:szCs w:val="24"/>
          <w:lang w:val="en" w:eastAsia="sv-SE"/>
        </w:rPr>
        <w:t>)</w:t>
      </w:r>
      <w:r w:rsidRPr="0031262C">
        <w:rPr>
          <w:rFonts w:ascii="Arial" w:hAnsi="Arial" w:cs="Arial"/>
          <w:sz w:val="24"/>
          <w:szCs w:val="24"/>
          <w:lang w:val="en" w:eastAsia="sv-SE"/>
        </w:rPr>
        <w:t>.</w:t>
      </w:r>
    </w:p>
    <w:p w:rsidR="00B177E1" w:rsidRPr="0031262C" w:rsidRDefault="0034772D" w:rsidP="00845EDF">
      <w:pPr>
        <w:pStyle w:val="Rubrik2"/>
        <w:spacing w:before="360" w:line="360" w:lineRule="auto"/>
        <w:rPr>
          <w:rFonts w:ascii="Arial" w:eastAsia="Times New Roman" w:hAnsi="Arial" w:cs="Arial"/>
          <w:i/>
          <w:color w:val="auto"/>
          <w:sz w:val="24"/>
          <w:szCs w:val="24"/>
          <w:lang w:val="en" w:eastAsia="sv-SE"/>
        </w:rPr>
      </w:pPr>
      <w:r>
        <w:rPr>
          <w:rFonts w:ascii="Arial" w:eastAsia="Times New Roman" w:hAnsi="Arial" w:cs="Arial"/>
          <w:i/>
          <w:color w:val="auto"/>
          <w:sz w:val="24"/>
          <w:szCs w:val="24"/>
          <w:lang w:val="en" w:eastAsia="sv-SE"/>
        </w:rPr>
        <w:t xml:space="preserve">1.4 </w:t>
      </w:r>
      <w:r w:rsidR="00B177E1" w:rsidRPr="0031262C">
        <w:rPr>
          <w:rFonts w:ascii="Arial" w:eastAsia="Times New Roman" w:hAnsi="Arial" w:cs="Arial"/>
          <w:i/>
          <w:color w:val="auto"/>
          <w:sz w:val="24"/>
          <w:szCs w:val="24"/>
          <w:lang w:val="en" w:eastAsia="sv-SE"/>
        </w:rPr>
        <w:t xml:space="preserve">Developing new crime statistics at a new dedicated unit </w:t>
      </w:r>
    </w:p>
    <w:p w:rsidR="00B177E1" w:rsidRPr="0031262C" w:rsidRDefault="00B177E1" w:rsidP="00165F4E">
      <w:pPr>
        <w:spacing w:before="120" w:after="0" w:line="360" w:lineRule="auto"/>
        <w:jc w:val="both"/>
        <w:rPr>
          <w:rFonts w:ascii="Arial" w:hAnsi="Arial" w:cs="Arial"/>
          <w:sz w:val="24"/>
          <w:szCs w:val="24"/>
          <w:lang w:val="en" w:eastAsia="sv-SE"/>
        </w:rPr>
      </w:pPr>
      <w:r w:rsidRPr="0031262C">
        <w:rPr>
          <w:rFonts w:ascii="Arial" w:hAnsi="Arial" w:cs="Arial"/>
          <w:sz w:val="24"/>
          <w:szCs w:val="24"/>
          <w:lang w:val="en" w:eastAsia="sv-SE"/>
        </w:rPr>
        <w:t xml:space="preserve">In 2013, the first </w:t>
      </w:r>
      <w:r w:rsidR="008F3F40">
        <w:rPr>
          <w:rFonts w:ascii="Arial" w:hAnsi="Arial" w:cs="Arial"/>
          <w:sz w:val="24"/>
          <w:szCs w:val="24"/>
          <w:lang w:val="en" w:eastAsia="sv-SE"/>
        </w:rPr>
        <w:t>stage</w:t>
      </w:r>
      <w:r w:rsidRPr="0031262C">
        <w:rPr>
          <w:rFonts w:ascii="Arial" w:hAnsi="Arial" w:cs="Arial"/>
          <w:sz w:val="24"/>
          <w:szCs w:val="24"/>
          <w:lang w:val="en" w:eastAsia="sv-SE"/>
        </w:rPr>
        <w:t xml:space="preserve"> of RIF was launched, and included the Swedish Police Authority, the Swedish Prosecution Authority and the S</w:t>
      </w:r>
      <w:r w:rsidR="001D71EA">
        <w:rPr>
          <w:rFonts w:ascii="Arial" w:hAnsi="Arial" w:cs="Arial"/>
          <w:sz w:val="24"/>
          <w:szCs w:val="24"/>
          <w:lang w:val="en" w:eastAsia="sv-SE"/>
        </w:rPr>
        <w:t>wedish Economic Crime Authority</w:t>
      </w:r>
      <w:r w:rsidRPr="0031262C">
        <w:rPr>
          <w:rFonts w:ascii="Arial" w:hAnsi="Arial" w:cs="Arial"/>
          <w:sz w:val="24"/>
          <w:szCs w:val="24"/>
          <w:lang w:val="en" w:eastAsia="sv-SE"/>
        </w:rPr>
        <w:t xml:space="preserve">. </w:t>
      </w:r>
      <w:r w:rsidR="00800C9D">
        <w:rPr>
          <w:rFonts w:ascii="Arial" w:hAnsi="Arial" w:cs="Arial"/>
          <w:sz w:val="24"/>
          <w:szCs w:val="24"/>
          <w:lang w:val="en" w:eastAsia="sv-SE"/>
        </w:rPr>
        <w:t>In the light of the new opportunities offered by RIF,</w:t>
      </w:r>
      <w:r w:rsidR="00800C9D" w:rsidRPr="00184CCA">
        <w:rPr>
          <w:rFonts w:ascii="Arial" w:hAnsi="Arial" w:cs="Arial"/>
          <w:sz w:val="24"/>
          <w:szCs w:val="24"/>
          <w:lang w:val="en" w:eastAsia="sv-SE"/>
        </w:rPr>
        <w:t xml:space="preserve"> </w:t>
      </w:r>
      <w:r w:rsidR="00800C9D" w:rsidRPr="0031262C">
        <w:rPr>
          <w:rFonts w:ascii="Arial" w:hAnsi="Arial" w:cs="Arial"/>
          <w:sz w:val="24"/>
          <w:szCs w:val="24"/>
          <w:lang w:val="en" w:eastAsia="sv-SE"/>
        </w:rPr>
        <w:t>the Swedish National Council for Crime Prevention (</w:t>
      </w:r>
      <w:proofErr w:type="spellStart"/>
      <w:r w:rsidR="00800C9D" w:rsidRPr="0031262C">
        <w:rPr>
          <w:rFonts w:ascii="Arial" w:hAnsi="Arial" w:cs="Arial"/>
          <w:sz w:val="24"/>
          <w:szCs w:val="24"/>
          <w:lang w:val="en" w:eastAsia="sv-SE"/>
        </w:rPr>
        <w:t>Brå</w:t>
      </w:r>
      <w:proofErr w:type="spellEnd"/>
      <w:r w:rsidR="00800C9D" w:rsidRPr="0031262C">
        <w:rPr>
          <w:rFonts w:ascii="Arial" w:hAnsi="Arial" w:cs="Arial"/>
          <w:sz w:val="24"/>
          <w:szCs w:val="24"/>
          <w:lang w:val="en" w:eastAsia="sv-SE"/>
        </w:rPr>
        <w:t xml:space="preserve">) was commissioned by the Swedish government to develop new, operational and adequate statistics, as well as new types of indicators for operational monitoring </w:t>
      </w:r>
      <w:r w:rsidR="00800C9D" w:rsidRPr="00265994">
        <w:rPr>
          <w:rFonts w:ascii="Arial" w:hAnsi="Arial" w:cs="Arial"/>
          <w:sz w:val="24"/>
          <w:szCs w:val="24"/>
          <w:lang w:val="en" w:eastAsia="sv-SE"/>
        </w:rPr>
        <w:t>(</w:t>
      </w:r>
      <w:proofErr w:type="spellStart"/>
      <w:r w:rsidR="00800C9D" w:rsidRPr="00265994">
        <w:rPr>
          <w:rFonts w:ascii="Arial" w:hAnsi="Arial" w:cs="Arial"/>
          <w:sz w:val="24"/>
          <w:szCs w:val="24"/>
          <w:lang w:val="en" w:eastAsia="sv-SE"/>
        </w:rPr>
        <w:t>Justitiedepartementet</w:t>
      </w:r>
      <w:proofErr w:type="spellEnd"/>
      <w:r w:rsidR="00800C9D">
        <w:rPr>
          <w:rFonts w:ascii="Arial" w:hAnsi="Arial" w:cs="Arial"/>
          <w:sz w:val="24"/>
          <w:szCs w:val="24"/>
          <w:lang w:val="en" w:eastAsia="sv-SE"/>
        </w:rPr>
        <w:t xml:space="preserve">, </w:t>
      </w:r>
      <w:r w:rsidR="00800C9D" w:rsidRPr="00265994">
        <w:rPr>
          <w:rFonts w:ascii="Arial" w:hAnsi="Arial" w:cs="Arial"/>
          <w:sz w:val="24"/>
          <w:szCs w:val="24"/>
          <w:lang w:val="en" w:eastAsia="sv-SE"/>
        </w:rPr>
        <w:t>2012)</w:t>
      </w:r>
      <w:r w:rsidR="00800C9D">
        <w:rPr>
          <w:rFonts w:ascii="Arial" w:hAnsi="Arial" w:cs="Arial"/>
          <w:sz w:val="24"/>
          <w:szCs w:val="24"/>
          <w:lang w:val="en" w:eastAsia="sv-SE"/>
        </w:rPr>
        <w:t xml:space="preserve">. </w:t>
      </w:r>
      <w:r w:rsidR="00800C9D" w:rsidRPr="0031262C">
        <w:rPr>
          <w:rFonts w:ascii="Arial" w:hAnsi="Arial" w:cs="Arial"/>
          <w:sz w:val="24"/>
          <w:szCs w:val="24"/>
          <w:lang w:val="en" w:eastAsia="sv-SE"/>
        </w:rPr>
        <w:t xml:space="preserve">In response, </w:t>
      </w:r>
      <w:proofErr w:type="spellStart"/>
      <w:r w:rsidR="00800C9D" w:rsidRPr="0031262C">
        <w:rPr>
          <w:rFonts w:ascii="Arial" w:hAnsi="Arial" w:cs="Arial"/>
          <w:sz w:val="24"/>
          <w:szCs w:val="24"/>
          <w:lang w:val="en" w:eastAsia="sv-SE"/>
        </w:rPr>
        <w:t>Brå</w:t>
      </w:r>
      <w:proofErr w:type="spellEnd"/>
      <w:r w:rsidR="00800C9D" w:rsidRPr="0031262C">
        <w:rPr>
          <w:rFonts w:ascii="Arial" w:hAnsi="Arial" w:cs="Arial"/>
          <w:sz w:val="24"/>
          <w:szCs w:val="24"/>
          <w:lang w:val="en" w:eastAsia="sv-SE"/>
        </w:rPr>
        <w:t xml:space="preserve"> established a new unit at the Division for Crime Statistics, with the sole purpose of working to develop new forms of crime statistics.</w:t>
      </w:r>
      <w:r w:rsidRPr="0031262C">
        <w:rPr>
          <w:rFonts w:ascii="Arial" w:hAnsi="Arial" w:cs="Arial"/>
          <w:sz w:val="24"/>
          <w:szCs w:val="24"/>
          <w:lang w:val="en" w:eastAsia="sv-SE"/>
        </w:rPr>
        <w:t xml:space="preserve"> </w:t>
      </w:r>
    </w:p>
    <w:p w:rsidR="00B177E1" w:rsidRPr="0031262C" w:rsidRDefault="00B177E1" w:rsidP="00165F4E">
      <w:pPr>
        <w:spacing w:before="120" w:after="0" w:line="360" w:lineRule="auto"/>
        <w:jc w:val="both"/>
        <w:rPr>
          <w:rFonts w:ascii="Arial" w:hAnsi="Arial" w:cs="Arial"/>
          <w:sz w:val="24"/>
          <w:szCs w:val="24"/>
          <w:lang w:val="en" w:eastAsia="sv-SE"/>
        </w:rPr>
      </w:pPr>
      <w:r w:rsidRPr="0031262C">
        <w:rPr>
          <w:rFonts w:ascii="Arial" w:hAnsi="Arial" w:cs="Arial"/>
          <w:sz w:val="24"/>
          <w:szCs w:val="24"/>
          <w:lang w:val="en" w:eastAsia="sv-SE"/>
        </w:rPr>
        <w:t xml:space="preserve">It is worth mentioning that </w:t>
      </w:r>
      <w:proofErr w:type="spellStart"/>
      <w:r w:rsidRPr="0031262C">
        <w:rPr>
          <w:rFonts w:ascii="Arial" w:hAnsi="Arial" w:cs="Arial"/>
          <w:sz w:val="24"/>
          <w:szCs w:val="24"/>
          <w:lang w:val="en" w:eastAsia="sv-SE"/>
        </w:rPr>
        <w:t>Brå</w:t>
      </w:r>
      <w:proofErr w:type="spellEnd"/>
      <w:r w:rsidRPr="0031262C">
        <w:rPr>
          <w:rFonts w:ascii="Arial" w:hAnsi="Arial" w:cs="Arial"/>
          <w:sz w:val="24"/>
          <w:szCs w:val="24"/>
          <w:lang w:val="en" w:eastAsia="sv-SE"/>
        </w:rPr>
        <w:t xml:space="preserve"> has since 1995 been responsible for the production of Sweden’s official crime statistics. However, the current official crime statistics provide limited possibilities to present an overall picture of the criminal justice process with regard to offences and crime suspects. The purpose of each of the current types of official statistics is to describe a specific part of the criminal justice process.</w:t>
      </w:r>
    </w:p>
    <w:p w:rsidR="00B177E1" w:rsidRPr="0031262C" w:rsidRDefault="00B177E1" w:rsidP="00165F4E">
      <w:pPr>
        <w:spacing w:before="120" w:after="0" w:line="360" w:lineRule="auto"/>
        <w:jc w:val="both"/>
        <w:rPr>
          <w:rFonts w:ascii="Arial" w:hAnsi="Arial" w:cs="Arial"/>
          <w:sz w:val="24"/>
          <w:szCs w:val="24"/>
          <w:lang w:val="en" w:eastAsia="sv-SE"/>
        </w:rPr>
      </w:pPr>
      <w:r w:rsidRPr="0031262C">
        <w:rPr>
          <w:rFonts w:ascii="Arial" w:hAnsi="Arial" w:cs="Arial"/>
          <w:sz w:val="24"/>
          <w:szCs w:val="24"/>
          <w:lang w:val="en" w:eastAsia="sv-SE"/>
        </w:rPr>
        <w:t xml:space="preserve">Since 2013, </w:t>
      </w:r>
      <w:proofErr w:type="spellStart"/>
      <w:r w:rsidRPr="0031262C">
        <w:rPr>
          <w:rFonts w:ascii="Arial" w:hAnsi="Arial" w:cs="Arial"/>
          <w:sz w:val="24"/>
          <w:szCs w:val="24"/>
          <w:lang w:val="en" w:eastAsia="sv-SE"/>
        </w:rPr>
        <w:t>Brå</w:t>
      </w:r>
      <w:proofErr w:type="spellEnd"/>
      <w:r w:rsidRPr="0031262C">
        <w:rPr>
          <w:rFonts w:ascii="Arial" w:hAnsi="Arial" w:cs="Arial"/>
          <w:sz w:val="24"/>
          <w:szCs w:val="24"/>
          <w:lang w:val="en" w:eastAsia="sv-SE"/>
        </w:rPr>
        <w:t xml:space="preserve"> has therefore been conducting a long-</w:t>
      </w:r>
      <w:r w:rsidRPr="0031262C">
        <w:rPr>
          <w:rFonts w:ascii="Arial" w:hAnsi="Arial" w:cs="Arial"/>
          <w:color w:val="000000" w:themeColor="text1"/>
          <w:sz w:val="24"/>
          <w:szCs w:val="24"/>
          <w:lang w:val="en" w:eastAsia="sv-SE"/>
        </w:rPr>
        <w:t xml:space="preserve">term development project with the primary objective of developing a new generation of statistical products that can </w:t>
      </w:r>
      <w:r w:rsidRPr="0031262C">
        <w:rPr>
          <w:rFonts w:ascii="Arial" w:hAnsi="Arial" w:cs="Arial"/>
          <w:color w:val="000000" w:themeColor="text1"/>
          <w:sz w:val="24"/>
          <w:szCs w:val="24"/>
          <w:lang w:val="en" w:eastAsia="sv-SE"/>
        </w:rPr>
        <w:lastRenderedPageBreak/>
        <w:t xml:space="preserve">be used to describe, analyze and follow up activities through different stages of the criminal justice process </w:t>
      </w:r>
      <w:r w:rsidRPr="00206D10">
        <w:rPr>
          <w:rFonts w:ascii="Arial" w:hAnsi="Arial" w:cs="Arial"/>
          <w:color w:val="000000" w:themeColor="text1"/>
          <w:sz w:val="24"/>
          <w:szCs w:val="24"/>
          <w:lang w:val="en" w:eastAsia="sv-SE"/>
        </w:rPr>
        <w:t>(</w:t>
      </w:r>
      <w:proofErr w:type="spellStart"/>
      <w:r w:rsidR="00206D10" w:rsidRPr="00206D10">
        <w:rPr>
          <w:rFonts w:ascii="Arial" w:hAnsi="Arial" w:cs="Arial"/>
          <w:color w:val="000000" w:themeColor="text1"/>
          <w:sz w:val="24"/>
          <w:szCs w:val="24"/>
          <w:lang w:val="en" w:eastAsia="sv-SE"/>
        </w:rPr>
        <w:t>Brottsförebyggande</w:t>
      </w:r>
      <w:proofErr w:type="spellEnd"/>
      <w:r w:rsidR="00206D10" w:rsidRPr="00206D10">
        <w:rPr>
          <w:rFonts w:ascii="Arial" w:hAnsi="Arial" w:cs="Arial"/>
          <w:color w:val="000000" w:themeColor="text1"/>
          <w:sz w:val="24"/>
          <w:szCs w:val="24"/>
          <w:lang w:val="en" w:eastAsia="sv-SE"/>
        </w:rPr>
        <w:t xml:space="preserve"> </w:t>
      </w:r>
      <w:proofErr w:type="spellStart"/>
      <w:r w:rsidR="00206D10" w:rsidRPr="00206D10">
        <w:rPr>
          <w:rFonts w:ascii="Arial" w:hAnsi="Arial" w:cs="Arial"/>
          <w:color w:val="000000" w:themeColor="text1"/>
          <w:sz w:val="24"/>
          <w:szCs w:val="24"/>
          <w:lang w:val="en" w:eastAsia="sv-SE"/>
        </w:rPr>
        <w:t>rådet</w:t>
      </w:r>
      <w:proofErr w:type="spellEnd"/>
      <w:r w:rsidR="00E25E65">
        <w:rPr>
          <w:rFonts w:ascii="Arial" w:hAnsi="Arial" w:cs="Arial"/>
          <w:color w:val="000000" w:themeColor="text1"/>
          <w:sz w:val="24"/>
          <w:szCs w:val="24"/>
          <w:lang w:val="en" w:eastAsia="sv-SE"/>
        </w:rPr>
        <w:t>,</w:t>
      </w:r>
      <w:r w:rsidR="00206D10" w:rsidRPr="00206D10">
        <w:rPr>
          <w:rFonts w:ascii="Arial" w:hAnsi="Arial" w:cs="Arial"/>
          <w:color w:val="000000" w:themeColor="text1"/>
          <w:sz w:val="24"/>
          <w:szCs w:val="24"/>
          <w:lang w:val="en" w:eastAsia="sv-SE"/>
        </w:rPr>
        <w:t xml:space="preserve"> 2013</w:t>
      </w:r>
      <w:r w:rsidR="002276CE">
        <w:rPr>
          <w:rFonts w:ascii="Arial" w:hAnsi="Arial" w:cs="Arial"/>
          <w:color w:val="000000" w:themeColor="text1"/>
          <w:sz w:val="24"/>
          <w:szCs w:val="24"/>
          <w:lang w:val="en" w:eastAsia="sv-SE"/>
        </w:rPr>
        <w:t>a</w:t>
      </w:r>
      <w:r w:rsidRPr="00206D10">
        <w:rPr>
          <w:rFonts w:ascii="Arial" w:hAnsi="Arial" w:cs="Arial"/>
          <w:color w:val="000000" w:themeColor="text1"/>
          <w:sz w:val="24"/>
          <w:szCs w:val="24"/>
          <w:lang w:val="en" w:eastAsia="sv-SE"/>
        </w:rPr>
        <w:t>)</w:t>
      </w:r>
      <w:r w:rsidRPr="0031262C">
        <w:rPr>
          <w:rFonts w:ascii="Arial" w:hAnsi="Arial" w:cs="Arial"/>
          <w:color w:val="000000" w:themeColor="text1"/>
          <w:sz w:val="24"/>
          <w:szCs w:val="24"/>
          <w:lang w:val="en" w:eastAsia="sv-SE"/>
        </w:rPr>
        <w:t>. The new statistical products are being developed in areas related to operational statistics, primarily statistics that shed light on the handling of crimes and suspects on their way through the criminal justice process, including indicators related to operational results</w:t>
      </w:r>
      <w:r w:rsidRPr="0031262C">
        <w:rPr>
          <w:rFonts w:ascii="Arial" w:hAnsi="Arial" w:cs="Arial"/>
          <w:sz w:val="24"/>
          <w:szCs w:val="24"/>
          <w:lang w:val="en" w:eastAsia="sv-SE"/>
        </w:rPr>
        <w:t xml:space="preserve">. The unit for the development of crime statistics (FUR) is responsible for the development of the new statistical products, in close cooperation with </w:t>
      </w:r>
      <w:proofErr w:type="spellStart"/>
      <w:r w:rsidRPr="0031262C">
        <w:rPr>
          <w:rFonts w:ascii="Arial" w:hAnsi="Arial" w:cs="Arial"/>
          <w:sz w:val="24"/>
          <w:szCs w:val="24"/>
          <w:lang w:val="en" w:eastAsia="sv-SE"/>
        </w:rPr>
        <w:t>Brå’s</w:t>
      </w:r>
      <w:proofErr w:type="spellEnd"/>
      <w:r w:rsidRPr="0031262C">
        <w:rPr>
          <w:rFonts w:ascii="Arial" w:hAnsi="Arial" w:cs="Arial"/>
          <w:sz w:val="24"/>
          <w:szCs w:val="24"/>
          <w:lang w:val="en" w:eastAsia="sv-SE"/>
        </w:rPr>
        <w:t xml:space="preserve"> IT department.</w:t>
      </w:r>
    </w:p>
    <w:p w:rsidR="00B177E1" w:rsidRPr="0031262C" w:rsidRDefault="0034772D" w:rsidP="00845EDF">
      <w:pPr>
        <w:pStyle w:val="Rubrik2"/>
        <w:spacing w:before="360" w:line="360" w:lineRule="auto"/>
        <w:rPr>
          <w:rFonts w:ascii="Arial" w:eastAsia="Times New Roman" w:hAnsi="Arial" w:cs="Arial"/>
          <w:i/>
          <w:color w:val="auto"/>
          <w:sz w:val="24"/>
          <w:szCs w:val="24"/>
          <w:lang w:val="en" w:eastAsia="sv-SE"/>
        </w:rPr>
      </w:pPr>
      <w:r>
        <w:rPr>
          <w:rFonts w:ascii="Arial" w:eastAsia="Times New Roman" w:hAnsi="Arial" w:cs="Arial"/>
          <w:i/>
          <w:color w:val="auto"/>
          <w:sz w:val="24"/>
          <w:szCs w:val="24"/>
          <w:lang w:val="en" w:eastAsia="sv-SE"/>
        </w:rPr>
        <w:t xml:space="preserve">1.5 </w:t>
      </w:r>
      <w:r w:rsidR="00B177E1" w:rsidRPr="0031262C">
        <w:rPr>
          <w:rFonts w:ascii="Arial" w:eastAsia="Times New Roman" w:hAnsi="Arial" w:cs="Arial"/>
          <w:i/>
          <w:color w:val="auto"/>
          <w:sz w:val="24"/>
          <w:szCs w:val="24"/>
          <w:lang w:val="en" w:eastAsia="sv-SE"/>
        </w:rPr>
        <w:t>A challenge: from a complex data structure to a simplified one</w:t>
      </w:r>
    </w:p>
    <w:p w:rsidR="00B177E1" w:rsidRPr="009E23D7" w:rsidRDefault="00B177E1" w:rsidP="00165F4E">
      <w:pPr>
        <w:spacing w:before="120" w:after="0" w:line="360" w:lineRule="auto"/>
        <w:jc w:val="both"/>
        <w:rPr>
          <w:rFonts w:ascii="Arial" w:hAnsi="Arial" w:cs="Arial"/>
          <w:sz w:val="24"/>
          <w:szCs w:val="24"/>
          <w:lang w:val="en"/>
        </w:rPr>
      </w:pPr>
      <w:r w:rsidRPr="009E23D7">
        <w:rPr>
          <w:rFonts w:ascii="Arial" w:hAnsi="Arial" w:cs="Arial"/>
          <w:sz w:val="24"/>
          <w:szCs w:val="24"/>
          <w:lang w:val="en"/>
        </w:rPr>
        <w:t>The data that form the basis for the design and production of the new statistical products</w:t>
      </w:r>
      <w:r w:rsidR="00FD1BA3">
        <w:rPr>
          <w:rFonts w:ascii="Arial" w:hAnsi="Arial" w:cs="Arial"/>
          <w:sz w:val="24"/>
          <w:szCs w:val="24"/>
          <w:lang w:val="en"/>
        </w:rPr>
        <w:t>,</w:t>
      </w:r>
      <w:r w:rsidRPr="009E23D7">
        <w:rPr>
          <w:rFonts w:ascii="Arial" w:hAnsi="Arial" w:cs="Arial"/>
          <w:sz w:val="24"/>
          <w:szCs w:val="24"/>
          <w:lang w:val="en"/>
        </w:rPr>
        <w:t xml:space="preserve"> focused on the handling of offences and crime suspects</w:t>
      </w:r>
      <w:r w:rsidR="00FD1BA3">
        <w:rPr>
          <w:rFonts w:ascii="Arial" w:hAnsi="Arial" w:cs="Arial"/>
          <w:sz w:val="24"/>
          <w:szCs w:val="24"/>
          <w:lang w:val="en"/>
        </w:rPr>
        <w:t>,</w:t>
      </w:r>
      <w:r w:rsidRPr="009E23D7">
        <w:rPr>
          <w:rFonts w:ascii="Arial" w:hAnsi="Arial" w:cs="Arial"/>
          <w:sz w:val="24"/>
          <w:szCs w:val="24"/>
          <w:lang w:val="en"/>
        </w:rPr>
        <w:t xml:space="preserve"> are obtained from a so called “integration database”, also known as KDB, which is administrated by </w:t>
      </w:r>
      <w:proofErr w:type="spellStart"/>
      <w:r w:rsidRPr="009E23D7">
        <w:rPr>
          <w:rFonts w:ascii="Arial" w:hAnsi="Arial" w:cs="Arial"/>
          <w:sz w:val="24"/>
          <w:szCs w:val="24"/>
          <w:lang w:val="en"/>
        </w:rPr>
        <w:t>Brå</w:t>
      </w:r>
      <w:proofErr w:type="spellEnd"/>
      <w:r w:rsidRPr="009E23D7">
        <w:rPr>
          <w:rFonts w:ascii="Arial" w:hAnsi="Arial" w:cs="Arial"/>
          <w:sz w:val="24"/>
          <w:szCs w:val="24"/>
          <w:lang w:val="en"/>
        </w:rPr>
        <w:t xml:space="preserve">. The database collects all the transactional data from the criminal justice case management systems that are reported in to </w:t>
      </w:r>
      <w:proofErr w:type="spellStart"/>
      <w:r w:rsidRPr="009E23D7">
        <w:rPr>
          <w:rFonts w:ascii="Arial" w:hAnsi="Arial" w:cs="Arial"/>
          <w:sz w:val="24"/>
          <w:szCs w:val="24"/>
          <w:lang w:val="en"/>
        </w:rPr>
        <w:t>Brå</w:t>
      </w:r>
      <w:proofErr w:type="spellEnd"/>
      <w:r w:rsidRPr="009E23D7">
        <w:rPr>
          <w:rFonts w:ascii="Arial" w:hAnsi="Arial" w:cs="Arial"/>
          <w:sz w:val="24"/>
          <w:szCs w:val="24"/>
          <w:lang w:val="en"/>
        </w:rPr>
        <w:t xml:space="preserve">, and the data are stored in an unstructured manner. As a result, the KDB handles enormous amounts of complex data. </w:t>
      </w:r>
    </w:p>
    <w:p w:rsidR="00B177E1" w:rsidRPr="009E23D7" w:rsidRDefault="00B177E1" w:rsidP="00165F4E">
      <w:pPr>
        <w:spacing w:before="120" w:after="0" w:line="360" w:lineRule="auto"/>
        <w:jc w:val="both"/>
        <w:rPr>
          <w:rFonts w:ascii="Arial" w:hAnsi="Arial" w:cs="Arial"/>
          <w:sz w:val="24"/>
          <w:szCs w:val="24"/>
          <w:lang w:val="en"/>
        </w:rPr>
      </w:pPr>
      <w:r w:rsidRPr="009E23D7">
        <w:rPr>
          <w:rFonts w:ascii="Arial" w:hAnsi="Arial" w:cs="Arial"/>
          <w:sz w:val="24"/>
          <w:szCs w:val="24"/>
          <w:lang w:val="en"/>
        </w:rPr>
        <w:t xml:space="preserve">In order to facilitate the management of this data, FUR has identified and specified micro data excerpts from the KDB that are required for the purpose of developing and producing the new statistical products. A pragmatic approach has been adopted to simplify the structure of the sophisticated and complex transaction data into a more workable and aggregated structure. The simplified data structure was explicitly designed for being used in order to produce statistical tables on offences and crime suspects. The simplified structure resulted in two aggregated files, one related to data on offences and the other related to data on crime suspects. These two files represent our target populations, and can be merged by means of a unique key identity associated with each offence. </w:t>
      </w:r>
    </w:p>
    <w:p w:rsidR="00B177E1" w:rsidRPr="0031262C" w:rsidRDefault="0034772D" w:rsidP="00845EDF">
      <w:pPr>
        <w:pStyle w:val="Rubrik2"/>
        <w:spacing w:before="360" w:line="360" w:lineRule="auto"/>
        <w:rPr>
          <w:rFonts w:ascii="Arial" w:eastAsia="Times New Roman" w:hAnsi="Arial" w:cs="Arial"/>
          <w:i/>
          <w:color w:val="auto"/>
          <w:sz w:val="24"/>
          <w:szCs w:val="24"/>
          <w:lang w:val="en" w:eastAsia="sv-SE"/>
        </w:rPr>
      </w:pPr>
      <w:r>
        <w:rPr>
          <w:rFonts w:ascii="Arial" w:eastAsia="Times New Roman" w:hAnsi="Arial" w:cs="Arial"/>
          <w:i/>
          <w:color w:val="auto"/>
          <w:sz w:val="24"/>
          <w:szCs w:val="24"/>
          <w:lang w:val="en" w:eastAsia="sv-SE"/>
        </w:rPr>
        <w:t xml:space="preserve">1.6 </w:t>
      </w:r>
      <w:r w:rsidR="00B177E1" w:rsidRPr="0031262C">
        <w:rPr>
          <w:rFonts w:ascii="Arial" w:eastAsia="Times New Roman" w:hAnsi="Arial" w:cs="Arial"/>
          <w:i/>
          <w:color w:val="auto"/>
          <w:sz w:val="24"/>
          <w:szCs w:val="24"/>
          <w:lang w:val="en" w:eastAsia="sv-SE"/>
        </w:rPr>
        <w:t>Outcomes from the project</w:t>
      </w:r>
      <w:r w:rsidR="0031262C" w:rsidRPr="0031262C">
        <w:rPr>
          <w:rFonts w:ascii="Arial" w:eastAsia="Times New Roman" w:hAnsi="Arial" w:cs="Arial"/>
          <w:i/>
          <w:color w:val="auto"/>
          <w:sz w:val="24"/>
          <w:szCs w:val="24"/>
          <w:lang w:val="en" w:eastAsia="sv-SE"/>
        </w:rPr>
        <w:t xml:space="preserve"> – </w:t>
      </w:r>
      <w:r w:rsidR="00B177E1" w:rsidRPr="0031262C">
        <w:rPr>
          <w:rFonts w:ascii="Arial" w:eastAsia="Times New Roman" w:hAnsi="Arial" w:cs="Arial"/>
          <w:i/>
          <w:color w:val="auto"/>
          <w:sz w:val="24"/>
          <w:szCs w:val="24"/>
          <w:lang w:val="en" w:eastAsia="sv-SE"/>
        </w:rPr>
        <w:t>new generation of crime statistics</w:t>
      </w:r>
    </w:p>
    <w:p w:rsidR="00B177E1" w:rsidRPr="0031262C" w:rsidRDefault="00800C9D" w:rsidP="00165F4E">
      <w:pPr>
        <w:spacing w:before="120" w:after="0" w:line="360" w:lineRule="auto"/>
        <w:jc w:val="both"/>
        <w:rPr>
          <w:rFonts w:ascii="Arial" w:hAnsi="Arial" w:cs="Arial"/>
          <w:sz w:val="24"/>
          <w:szCs w:val="24"/>
          <w:lang w:val="en"/>
        </w:rPr>
      </w:pPr>
      <w:r>
        <w:rPr>
          <w:rFonts w:ascii="Arial" w:hAnsi="Arial" w:cs="Arial"/>
          <w:sz w:val="24"/>
          <w:szCs w:val="24"/>
          <w:lang w:val="en" w:eastAsia="sv-SE"/>
        </w:rPr>
        <w:t xml:space="preserve">The most expressed requirement from the users of the statistics (primarily the government) has been to follow up the activities of the criminal justice system </w:t>
      </w:r>
      <w:r w:rsidR="005F49A1">
        <w:rPr>
          <w:rFonts w:ascii="Arial" w:hAnsi="Arial" w:cs="Arial"/>
          <w:sz w:val="24"/>
          <w:szCs w:val="24"/>
          <w:lang w:val="en" w:eastAsia="sv-SE"/>
        </w:rPr>
        <w:t xml:space="preserve">in a coherent way </w:t>
      </w:r>
      <w:r>
        <w:rPr>
          <w:rFonts w:ascii="Arial" w:hAnsi="Arial" w:cs="Arial"/>
          <w:sz w:val="24"/>
          <w:szCs w:val="24"/>
          <w:lang w:val="en" w:eastAsia="sv-SE"/>
        </w:rPr>
        <w:t xml:space="preserve">through the entire </w:t>
      </w:r>
      <w:r w:rsidR="005F49A1">
        <w:rPr>
          <w:rFonts w:ascii="Arial" w:hAnsi="Arial" w:cs="Arial"/>
          <w:sz w:val="24"/>
          <w:szCs w:val="24"/>
          <w:lang w:val="en" w:eastAsia="sv-SE"/>
        </w:rPr>
        <w:t xml:space="preserve">process </w:t>
      </w:r>
      <w:r w:rsidR="005F49A1" w:rsidRPr="002276CE">
        <w:rPr>
          <w:rFonts w:ascii="Arial" w:hAnsi="Arial" w:cs="Arial"/>
          <w:sz w:val="24"/>
          <w:szCs w:val="24"/>
          <w:lang w:val="en" w:eastAsia="sv-SE"/>
        </w:rPr>
        <w:t>(</w:t>
      </w:r>
      <w:proofErr w:type="spellStart"/>
      <w:r w:rsidR="005F49A1" w:rsidRPr="00206D10">
        <w:rPr>
          <w:rFonts w:ascii="Arial" w:hAnsi="Arial" w:cs="Arial"/>
          <w:color w:val="000000" w:themeColor="text1"/>
          <w:sz w:val="24"/>
          <w:szCs w:val="24"/>
          <w:lang w:val="en" w:eastAsia="sv-SE"/>
        </w:rPr>
        <w:t>Brottsförebyggande</w:t>
      </w:r>
      <w:proofErr w:type="spellEnd"/>
      <w:r w:rsidR="005F49A1" w:rsidRPr="00206D10">
        <w:rPr>
          <w:rFonts w:ascii="Arial" w:hAnsi="Arial" w:cs="Arial"/>
          <w:color w:val="000000" w:themeColor="text1"/>
          <w:sz w:val="24"/>
          <w:szCs w:val="24"/>
          <w:lang w:val="en" w:eastAsia="sv-SE"/>
        </w:rPr>
        <w:t xml:space="preserve"> </w:t>
      </w:r>
      <w:proofErr w:type="spellStart"/>
      <w:r w:rsidR="005F49A1" w:rsidRPr="00206D10">
        <w:rPr>
          <w:rFonts w:ascii="Arial" w:hAnsi="Arial" w:cs="Arial"/>
          <w:color w:val="000000" w:themeColor="text1"/>
          <w:sz w:val="24"/>
          <w:szCs w:val="24"/>
          <w:lang w:val="en" w:eastAsia="sv-SE"/>
        </w:rPr>
        <w:t>rådet</w:t>
      </w:r>
      <w:proofErr w:type="spellEnd"/>
      <w:r w:rsidR="005F49A1">
        <w:rPr>
          <w:rFonts w:ascii="Arial" w:hAnsi="Arial" w:cs="Arial"/>
          <w:color w:val="000000" w:themeColor="text1"/>
          <w:sz w:val="24"/>
          <w:szCs w:val="24"/>
          <w:lang w:val="en" w:eastAsia="sv-SE"/>
        </w:rPr>
        <w:t>,</w:t>
      </w:r>
      <w:r w:rsidR="005F49A1" w:rsidRPr="00206D10">
        <w:rPr>
          <w:rFonts w:ascii="Arial" w:hAnsi="Arial" w:cs="Arial"/>
          <w:color w:val="000000" w:themeColor="text1"/>
          <w:sz w:val="24"/>
          <w:szCs w:val="24"/>
          <w:lang w:val="en" w:eastAsia="sv-SE"/>
        </w:rPr>
        <w:t xml:space="preserve"> 2013</w:t>
      </w:r>
      <w:r w:rsidR="005F49A1">
        <w:rPr>
          <w:rFonts w:ascii="Arial" w:hAnsi="Arial" w:cs="Arial"/>
          <w:color w:val="000000" w:themeColor="text1"/>
          <w:sz w:val="24"/>
          <w:szCs w:val="24"/>
          <w:lang w:val="en" w:eastAsia="sv-SE"/>
        </w:rPr>
        <w:t>b</w:t>
      </w:r>
      <w:r w:rsidR="005F49A1" w:rsidRPr="002276CE">
        <w:rPr>
          <w:rFonts w:ascii="Arial" w:hAnsi="Arial" w:cs="Arial"/>
          <w:sz w:val="24"/>
          <w:szCs w:val="24"/>
          <w:lang w:val="en" w:eastAsia="sv-SE"/>
        </w:rPr>
        <w:t>)</w:t>
      </w:r>
      <w:r>
        <w:rPr>
          <w:rFonts w:ascii="Arial" w:hAnsi="Arial" w:cs="Arial"/>
          <w:sz w:val="24"/>
          <w:szCs w:val="24"/>
          <w:lang w:val="en" w:eastAsia="sv-SE"/>
        </w:rPr>
        <w:t xml:space="preserve">. This has not been possible prior </w:t>
      </w:r>
      <w:r w:rsidR="0037148A">
        <w:rPr>
          <w:rFonts w:ascii="Arial" w:hAnsi="Arial" w:cs="Arial"/>
          <w:sz w:val="24"/>
          <w:szCs w:val="24"/>
          <w:lang w:val="en" w:eastAsia="sv-SE"/>
        </w:rPr>
        <w:t xml:space="preserve">to </w:t>
      </w:r>
      <w:r>
        <w:rPr>
          <w:rFonts w:ascii="Arial" w:hAnsi="Arial" w:cs="Arial"/>
          <w:sz w:val="24"/>
          <w:szCs w:val="24"/>
          <w:lang w:val="en" w:eastAsia="sv-SE"/>
        </w:rPr>
        <w:t xml:space="preserve">the introduction of RIF. </w:t>
      </w:r>
      <w:r w:rsidRPr="0031262C">
        <w:rPr>
          <w:rFonts w:ascii="Arial" w:hAnsi="Arial" w:cs="Arial"/>
          <w:sz w:val="24"/>
          <w:szCs w:val="24"/>
          <w:lang w:val="en" w:eastAsia="sv-SE"/>
        </w:rPr>
        <w:t xml:space="preserve">A special emphasis has therefore been given to the prospects of developing new types of crime statistics </w:t>
      </w:r>
      <w:r w:rsidR="005F49A1">
        <w:rPr>
          <w:rFonts w:ascii="Arial" w:hAnsi="Arial" w:cs="Arial"/>
          <w:sz w:val="24"/>
          <w:szCs w:val="24"/>
          <w:lang w:val="en" w:eastAsia="sv-SE"/>
        </w:rPr>
        <w:t xml:space="preserve">with the aim </w:t>
      </w:r>
      <w:r w:rsidR="005F49A1">
        <w:rPr>
          <w:rFonts w:ascii="Arial" w:hAnsi="Arial" w:cs="Arial"/>
          <w:sz w:val="24"/>
          <w:szCs w:val="24"/>
          <w:lang w:val="en" w:eastAsia="sv-SE"/>
        </w:rPr>
        <w:lastRenderedPageBreak/>
        <w:t xml:space="preserve">of </w:t>
      </w:r>
      <w:r w:rsidRPr="0031262C">
        <w:rPr>
          <w:rFonts w:ascii="Arial" w:hAnsi="Arial" w:cs="Arial"/>
          <w:sz w:val="24"/>
          <w:szCs w:val="24"/>
          <w:lang w:val="en" w:eastAsia="sv-SE"/>
        </w:rPr>
        <w:t>be</w:t>
      </w:r>
      <w:r w:rsidR="005F49A1">
        <w:rPr>
          <w:rFonts w:ascii="Arial" w:hAnsi="Arial" w:cs="Arial"/>
          <w:sz w:val="24"/>
          <w:szCs w:val="24"/>
          <w:lang w:val="en" w:eastAsia="sv-SE"/>
        </w:rPr>
        <w:t xml:space="preserve">ing able to </w:t>
      </w:r>
      <w:r w:rsidRPr="0031262C">
        <w:rPr>
          <w:rFonts w:ascii="Arial" w:hAnsi="Arial" w:cs="Arial"/>
          <w:sz w:val="24"/>
          <w:szCs w:val="24"/>
          <w:lang w:val="en" w:eastAsia="sv-SE"/>
        </w:rPr>
        <w:t xml:space="preserve">use in the </w:t>
      </w:r>
      <w:r w:rsidRPr="0031262C">
        <w:rPr>
          <w:rFonts w:ascii="Arial" w:hAnsi="Arial" w:cs="Arial"/>
          <w:i/>
          <w:sz w:val="24"/>
          <w:szCs w:val="24"/>
          <w:lang w:val="en" w:eastAsia="sv-SE"/>
        </w:rPr>
        <w:t>analysis</w:t>
      </w:r>
      <w:r w:rsidRPr="0031262C">
        <w:rPr>
          <w:rFonts w:ascii="Arial" w:hAnsi="Arial" w:cs="Arial"/>
          <w:sz w:val="24"/>
          <w:szCs w:val="24"/>
          <w:lang w:val="en" w:eastAsia="sv-SE"/>
        </w:rPr>
        <w:t xml:space="preserve"> and </w:t>
      </w:r>
      <w:r w:rsidRPr="0031262C">
        <w:rPr>
          <w:rFonts w:ascii="Arial" w:hAnsi="Arial" w:cs="Arial"/>
          <w:i/>
          <w:sz w:val="24"/>
          <w:szCs w:val="24"/>
          <w:lang w:val="en" w:eastAsia="sv-SE"/>
        </w:rPr>
        <w:t xml:space="preserve">monitoring </w:t>
      </w:r>
      <w:r w:rsidRPr="0031262C">
        <w:rPr>
          <w:rFonts w:ascii="Arial" w:hAnsi="Arial" w:cs="Arial"/>
          <w:sz w:val="24"/>
          <w:szCs w:val="24"/>
          <w:lang w:val="en" w:eastAsia="sv-SE"/>
        </w:rPr>
        <w:t>of the criminal justice system activities</w:t>
      </w:r>
      <w:r>
        <w:rPr>
          <w:rFonts w:ascii="Arial" w:hAnsi="Arial" w:cs="Arial"/>
          <w:sz w:val="24"/>
          <w:szCs w:val="24"/>
          <w:lang w:val="en" w:eastAsia="sv-SE"/>
        </w:rPr>
        <w:t xml:space="preserve"> as a whole.</w:t>
      </w:r>
      <w:r w:rsidR="005F49A1">
        <w:rPr>
          <w:rFonts w:ascii="Arial" w:hAnsi="Arial" w:cs="Arial"/>
          <w:sz w:val="24"/>
          <w:szCs w:val="24"/>
          <w:lang w:val="en" w:eastAsia="sv-SE"/>
        </w:rPr>
        <w:t xml:space="preserve"> </w:t>
      </w:r>
    </w:p>
    <w:p w:rsidR="00C96571" w:rsidRDefault="00B177E1" w:rsidP="00165F4E">
      <w:pPr>
        <w:spacing w:before="120" w:after="0" w:line="360" w:lineRule="auto"/>
        <w:jc w:val="both"/>
        <w:rPr>
          <w:rFonts w:ascii="Arial" w:hAnsi="Arial" w:cs="Arial"/>
          <w:sz w:val="24"/>
          <w:szCs w:val="24"/>
          <w:lang w:val="en" w:eastAsia="sv-SE"/>
        </w:rPr>
      </w:pPr>
      <w:r w:rsidRPr="0031262C">
        <w:rPr>
          <w:rFonts w:ascii="Arial" w:hAnsi="Arial" w:cs="Arial"/>
          <w:sz w:val="24"/>
          <w:szCs w:val="24"/>
          <w:lang w:val="en" w:eastAsia="sv-SE"/>
        </w:rPr>
        <w:t xml:space="preserve">The </w:t>
      </w:r>
      <w:r w:rsidR="00C96571">
        <w:rPr>
          <w:rFonts w:ascii="Arial" w:hAnsi="Arial" w:cs="Arial"/>
          <w:sz w:val="24"/>
          <w:szCs w:val="24"/>
          <w:lang w:val="en" w:eastAsia="sv-SE"/>
        </w:rPr>
        <w:t xml:space="preserve">purpose of the </w:t>
      </w:r>
      <w:r w:rsidRPr="0031262C">
        <w:rPr>
          <w:rFonts w:ascii="Arial" w:hAnsi="Arial" w:cs="Arial"/>
          <w:sz w:val="24"/>
          <w:szCs w:val="24"/>
          <w:lang w:val="en" w:eastAsia="sv-SE"/>
        </w:rPr>
        <w:t>results that are presented in this paper</w:t>
      </w:r>
      <w:r w:rsidR="00C96571">
        <w:rPr>
          <w:rFonts w:ascii="Arial" w:hAnsi="Arial" w:cs="Arial"/>
          <w:sz w:val="24"/>
          <w:szCs w:val="24"/>
          <w:lang w:val="en" w:eastAsia="sv-SE"/>
        </w:rPr>
        <w:t xml:space="preserve"> is to</w:t>
      </w:r>
      <w:r w:rsidR="005F49A1">
        <w:rPr>
          <w:rFonts w:ascii="Arial" w:hAnsi="Arial" w:cs="Arial"/>
          <w:sz w:val="24"/>
          <w:szCs w:val="24"/>
          <w:lang w:val="en" w:eastAsia="sv-SE"/>
        </w:rPr>
        <w:t xml:space="preserve"> respond to the need</w:t>
      </w:r>
      <w:r w:rsidR="00C96571">
        <w:rPr>
          <w:rFonts w:ascii="Arial" w:hAnsi="Arial" w:cs="Arial"/>
          <w:sz w:val="24"/>
          <w:szCs w:val="24"/>
          <w:lang w:val="en" w:eastAsia="sv-SE"/>
        </w:rPr>
        <w:t>s expressed by the users of crime statistics. The results reflect the</w:t>
      </w:r>
      <w:r w:rsidRPr="0031262C">
        <w:rPr>
          <w:rFonts w:ascii="Arial" w:hAnsi="Arial" w:cs="Arial"/>
          <w:sz w:val="24"/>
          <w:szCs w:val="24"/>
          <w:lang w:val="en" w:eastAsia="sv-SE"/>
        </w:rPr>
        <w:t xml:space="preserve"> new crime statistics product that describes the handling of offences and crime suspects on their path through the criminal justice process – from the registration of offences to decisions </w:t>
      </w:r>
      <w:r w:rsidRPr="0031262C">
        <w:rPr>
          <w:rFonts w:ascii="Arial" w:hAnsi="Arial" w:cs="Arial"/>
          <w:sz w:val="24"/>
          <w:szCs w:val="24"/>
          <w:lang w:val="en-US"/>
        </w:rPr>
        <w:t>by the prosecutor on whether to prosecute</w:t>
      </w:r>
      <w:r w:rsidRPr="0031262C">
        <w:rPr>
          <w:rFonts w:ascii="Arial" w:hAnsi="Arial" w:cs="Arial"/>
          <w:sz w:val="24"/>
          <w:szCs w:val="24"/>
          <w:lang w:val="en" w:eastAsia="sv-SE"/>
        </w:rPr>
        <w:t xml:space="preserve">. </w:t>
      </w:r>
    </w:p>
    <w:p w:rsidR="00B177E1" w:rsidRPr="0031262C" w:rsidRDefault="00B177E1" w:rsidP="00165F4E">
      <w:pPr>
        <w:spacing w:before="120" w:after="0" w:line="360" w:lineRule="auto"/>
        <w:jc w:val="both"/>
        <w:rPr>
          <w:rFonts w:ascii="Arial" w:hAnsi="Arial" w:cs="Arial"/>
          <w:sz w:val="24"/>
          <w:szCs w:val="24"/>
          <w:lang w:val="en" w:eastAsia="sv-SE"/>
        </w:rPr>
      </w:pPr>
      <w:r w:rsidRPr="0031262C">
        <w:rPr>
          <w:rFonts w:ascii="Arial" w:hAnsi="Arial" w:cs="Arial"/>
          <w:sz w:val="24"/>
          <w:szCs w:val="24"/>
          <w:lang w:val="en" w:eastAsia="sv-SE"/>
        </w:rPr>
        <w:t>Since 2018, the results have been published annually, and in the long term it is envisaged that this statistical product will be incorporated into the official crime statistics.</w:t>
      </w:r>
    </w:p>
    <w:p w:rsidR="00B177E1" w:rsidRPr="0034772D" w:rsidRDefault="00B177E1" w:rsidP="00845EDF">
      <w:pPr>
        <w:pStyle w:val="Liststycke"/>
        <w:numPr>
          <w:ilvl w:val="0"/>
          <w:numId w:val="3"/>
        </w:numPr>
        <w:spacing w:before="360" w:after="0"/>
        <w:ind w:left="357" w:hanging="357"/>
        <w:rPr>
          <w:rFonts w:ascii="Arial" w:hAnsi="Arial" w:cs="Arial"/>
          <w:b/>
          <w:sz w:val="24"/>
          <w:szCs w:val="24"/>
          <w:lang w:val="en-US"/>
        </w:rPr>
      </w:pPr>
      <w:r w:rsidRPr="0034772D">
        <w:rPr>
          <w:rFonts w:ascii="Arial" w:hAnsi="Arial" w:cs="Arial"/>
          <w:b/>
          <w:sz w:val="24"/>
          <w:szCs w:val="24"/>
          <w:lang w:val="en-US"/>
        </w:rPr>
        <w:t>The criminal justice process</w:t>
      </w:r>
    </w:p>
    <w:p w:rsidR="00845EDF" w:rsidRDefault="00845EDF" w:rsidP="004127D9">
      <w:pPr>
        <w:pStyle w:val="Beskrivning"/>
        <w:spacing w:line="360" w:lineRule="auto"/>
        <w:rPr>
          <w:rStyle w:val="Betoning"/>
          <w:rFonts w:ascii="Arial" w:hAnsi="Arial" w:cs="Arial"/>
          <w:i/>
          <w:iCs/>
          <w:color w:val="auto"/>
          <w:sz w:val="22"/>
          <w:szCs w:val="22"/>
          <w:lang w:val="en-US"/>
        </w:rPr>
      </w:pPr>
    </w:p>
    <w:p w:rsidR="00B177E1" w:rsidRPr="00845EDF" w:rsidRDefault="00B177E1" w:rsidP="003D118F">
      <w:pPr>
        <w:pStyle w:val="Beskrivning"/>
        <w:spacing w:line="360" w:lineRule="auto"/>
        <w:rPr>
          <w:rStyle w:val="Betoning"/>
          <w:rFonts w:ascii="Arial" w:hAnsi="Arial" w:cs="Arial"/>
          <w:b/>
          <w:color w:val="auto"/>
          <w:sz w:val="20"/>
          <w:szCs w:val="20"/>
          <w:lang w:val="en-US"/>
        </w:rPr>
      </w:pPr>
      <w:proofErr w:type="gramStart"/>
      <w:r w:rsidRPr="00845EDF">
        <w:rPr>
          <w:rStyle w:val="Betoning"/>
          <w:rFonts w:ascii="Arial" w:hAnsi="Arial" w:cs="Arial"/>
          <w:b/>
          <w:color w:val="auto"/>
          <w:sz w:val="20"/>
          <w:szCs w:val="20"/>
          <w:lang w:val="en-US"/>
        </w:rPr>
        <w:t>Figure 1.</w:t>
      </w:r>
      <w:proofErr w:type="gramEnd"/>
      <w:r w:rsidRPr="00845EDF">
        <w:rPr>
          <w:rStyle w:val="Betoning"/>
          <w:rFonts w:ascii="Arial" w:hAnsi="Arial" w:cs="Arial"/>
          <w:b/>
          <w:color w:val="auto"/>
          <w:sz w:val="20"/>
          <w:szCs w:val="20"/>
          <w:lang w:val="en-US"/>
        </w:rPr>
        <w:t xml:space="preserve"> </w:t>
      </w:r>
      <w:proofErr w:type="gramStart"/>
      <w:r w:rsidRPr="00845EDF">
        <w:rPr>
          <w:rStyle w:val="Betoning"/>
          <w:rFonts w:ascii="Arial" w:hAnsi="Arial" w:cs="Arial"/>
          <w:b/>
          <w:color w:val="auto"/>
          <w:sz w:val="20"/>
          <w:szCs w:val="20"/>
          <w:lang w:val="en-US"/>
        </w:rPr>
        <w:t>Illustration of the investigative and prosecution process for crime suspects</w:t>
      </w:r>
      <w:r w:rsidR="0037148A">
        <w:rPr>
          <w:rStyle w:val="Fotnotsreferens"/>
          <w:rFonts w:ascii="Arial" w:hAnsi="Arial" w:cs="Arial"/>
          <w:b/>
          <w:i w:val="0"/>
          <w:iCs w:val="0"/>
          <w:color w:val="auto"/>
          <w:sz w:val="20"/>
          <w:szCs w:val="20"/>
          <w:lang w:val="en-US"/>
        </w:rPr>
        <w:footnoteReference w:id="2"/>
      </w:r>
      <w:r w:rsidRPr="00845EDF">
        <w:rPr>
          <w:rStyle w:val="Betoning"/>
          <w:rFonts w:ascii="Arial" w:hAnsi="Arial" w:cs="Arial"/>
          <w:b/>
          <w:color w:val="auto"/>
          <w:sz w:val="20"/>
          <w:szCs w:val="20"/>
          <w:lang w:val="en-US"/>
        </w:rPr>
        <w:t>.</w:t>
      </w:r>
      <w:proofErr w:type="gramEnd"/>
      <w:r w:rsidRPr="00845EDF">
        <w:rPr>
          <w:rStyle w:val="Betoning"/>
          <w:rFonts w:ascii="Arial" w:hAnsi="Arial" w:cs="Arial"/>
          <w:b/>
          <w:color w:val="auto"/>
          <w:sz w:val="20"/>
          <w:szCs w:val="20"/>
          <w:lang w:val="en-US"/>
        </w:rPr>
        <w:t xml:space="preserve"> (The broken lines indicate common types of situations in which previous decisions are re-evaluated) </w:t>
      </w:r>
    </w:p>
    <w:p w:rsidR="00B177E1" w:rsidRPr="0031262C" w:rsidRDefault="00B177E1" w:rsidP="004127D9">
      <w:pPr>
        <w:spacing w:line="360" w:lineRule="auto"/>
        <w:rPr>
          <w:rFonts w:ascii="Arial" w:hAnsi="Arial" w:cs="Arial"/>
          <w:lang w:val="en-US"/>
        </w:rPr>
      </w:pPr>
      <w:r w:rsidRPr="0031262C">
        <w:rPr>
          <w:rFonts w:ascii="Arial" w:hAnsi="Arial" w:cs="Arial"/>
          <w:noProof/>
          <w:lang w:val="en-US" w:eastAsia="sv-SE"/>
        </w:rPr>
        <w:t xml:space="preserve"> </w:t>
      </w:r>
      <w:r w:rsidRPr="0031262C">
        <w:rPr>
          <w:rFonts w:ascii="Arial" w:hAnsi="Arial" w:cs="Arial"/>
          <w:noProof/>
          <w:lang w:val="sv-SE" w:eastAsia="sv-SE"/>
        </w:rPr>
        <w:drawing>
          <wp:inline distT="0" distB="0" distL="0" distR="0" wp14:anchorId="4422EB47" wp14:editId="0AA8E148">
            <wp:extent cx="5718810" cy="2109470"/>
            <wp:effectExtent l="0" t="0" r="0" b="5080"/>
            <wp:docPr id="309" name="Bildobjekt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810" cy="2109470"/>
                    </a:xfrm>
                    <a:prstGeom prst="rect">
                      <a:avLst/>
                    </a:prstGeom>
                    <a:noFill/>
                  </pic:spPr>
                </pic:pic>
              </a:graphicData>
            </a:graphic>
          </wp:inline>
        </w:drawing>
      </w: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When an offence is reported, a decision is made about whether to initiate a criminal investigation or to dismiss the reported offence without further investigation. If an investigation is initiated, it is supposed to result in either a discontinuation or a completion, depending on whether there are sufficient grounds to take the case to court. In reality, however, the criminal justice process of criminal justice is not this straightforward. The process includes several parties that may evaluate the same </w:t>
      </w:r>
      <w:r w:rsidRPr="0031262C">
        <w:rPr>
          <w:rFonts w:ascii="Arial" w:hAnsi="Arial" w:cs="Arial"/>
          <w:sz w:val="24"/>
          <w:szCs w:val="24"/>
          <w:lang w:val="en-US"/>
        </w:rPr>
        <w:lastRenderedPageBreak/>
        <w:t xml:space="preserve">information differently. In addition, new information about the offence is continuously being added, both as a result of the investigation and from external sources, which may lead to previous decisions being re-evaluated. This means, for instance, that an </w:t>
      </w:r>
      <w:r w:rsidR="00193AA6">
        <w:rPr>
          <w:rFonts w:ascii="Arial" w:hAnsi="Arial" w:cs="Arial"/>
          <w:sz w:val="24"/>
          <w:szCs w:val="24"/>
          <w:lang w:val="en-US"/>
        </w:rPr>
        <w:t>investigation</w:t>
      </w:r>
      <w:r w:rsidRPr="0031262C">
        <w:rPr>
          <w:rFonts w:ascii="Arial" w:hAnsi="Arial" w:cs="Arial"/>
          <w:sz w:val="24"/>
          <w:szCs w:val="24"/>
          <w:lang w:val="en-US"/>
        </w:rPr>
        <w:t xml:space="preserve"> that has previously been </w:t>
      </w:r>
      <w:r w:rsidR="00193AA6" w:rsidRPr="0031262C">
        <w:rPr>
          <w:rFonts w:ascii="Arial" w:hAnsi="Arial" w:cs="Arial"/>
          <w:sz w:val="24"/>
          <w:szCs w:val="24"/>
          <w:lang w:val="en-US"/>
        </w:rPr>
        <w:t>discontinued may be resumed</w:t>
      </w:r>
      <w:r w:rsidRPr="0031262C">
        <w:rPr>
          <w:rFonts w:ascii="Arial" w:hAnsi="Arial" w:cs="Arial"/>
          <w:sz w:val="24"/>
          <w:szCs w:val="24"/>
          <w:lang w:val="en-US"/>
        </w:rPr>
        <w:t xml:space="preserve">. </w:t>
      </w:r>
      <w:r w:rsidR="00193AA6" w:rsidRPr="0031262C">
        <w:rPr>
          <w:rFonts w:ascii="Arial" w:hAnsi="Arial" w:cs="Arial"/>
          <w:sz w:val="24"/>
          <w:szCs w:val="24"/>
          <w:lang w:val="en-US"/>
        </w:rPr>
        <w:t>It is not unusual for a criminal investigation to be discontinued and then resumed in repeated loops before a final decision is reached.</w:t>
      </w:r>
      <w:r w:rsidR="00193AA6">
        <w:rPr>
          <w:rFonts w:ascii="Arial" w:hAnsi="Arial" w:cs="Arial"/>
          <w:sz w:val="24"/>
          <w:szCs w:val="24"/>
          <w:lang w:val="en-US"/>
        </w:rPr>
        <w:t xml:space="preserve"> Also</w:t>
      </w:r>
      <w:r w:rsidRPr="0031262C">
        <w:rPr>
          <w:rFonts w:ascii="Arial" w:hAnsi="Arial" w:cs="Arial"/>
          <w:sz w:val="24"/>
          <w:szCs w:val="24"/>
          <w:lang w:val="en-US"/>
        </w:rPr>
        <w:t xml:space="preserve">, completed investigations may be sent back to be supplemented or even discontinued following their completion. All this mean that in practice the process is complex and difficult to capture in a comprehensive way. Thus, it was a challenging task to statistically describe the process in a simplified manner, without losing important aspects. </w:t>
      </w:r>
    </w:p>
    <w:p w:rsidR="002276CE"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To describe all the possible pathways an offence can take in the criminal justice process would be an overwhelming task, and some degree of aggregation is</w:t>
      </w:r>
      <w:r w:rsidR="00193AA6">
        <w:rPr>
          <w:rFonts w:ascii="Arial" w:hAnsi="Arial" w:cs="Arial"/>
          <w:sz w:val="24"/>
          <w:szCs w:val="24"/>
          <w:lang w:val="en-US"/>
        </w:rPr>
        <w:t xml:space="preserve"> therefore</w:t>
      </w:r>
      <w:r w:rsidRPr="0031262C">
        <w:rPr>
          <w:rFonts w:ascii="Arial" w:hAnsi="Arial" w:cs="Arial"/>
          <w:sz w:val="24"/>
          <w:szCs w:val="24"/>
          <w:lang w:val="en-US"/>
        </w:rPr>
        <w:t xml:space="preserve"> needed. One option would be only to present the status of the offence at the end of the year, as a representation of the outcome of the criminal investigation. However, all information about the decisions preceding the final one would then be lost, and as a result, many of the opportunities made possible by the new coherent digital case management system would not be utilized. Instead, our solution was to identify the most important types of decisions that can be made in relation to an offence or a crime suspect and then present which types of decisions are made in relation to each offence or suspect. </w:t>
      </w:r>
      <w:r w:rsidR="002276CE" w:rsidRPr="0031262C">
        <w:rPr>
          <w:rFonts w:ascii="Arial" w:hAnsi="Arial" w:cs="Arial"/>
          <w:sz w:val="24"/>
          <w:szCs w:val="24"/>
          <w:lang w:val="en-US"/>
        </w:rPr>
        <w:t>However, there are a large number of decision types in the data, and many of them represent virtually the same kind of decision. As an example, table 1 shows all of the decision types which in practice mean</w:t>
      </w:r>
      <w:r w:rsidR="00B26859">
        <w:rPr>
          <w:rFonts w:ascii="Arial" w:hAnsi="Arial" w:cs="Arial"/>
          <w:sz w:val="24"/>
          <w:szCs w:val="24"/>
          <w:lang w:val="en-US"/>
        </w:rPr>
        <w:t>s</w:t>
      </w:r>
      <w:r w:rsidR="002276CE" w:rsidRPr="0031262C">
        <w:rPr>
          <w:rFonts w:ascii="Arial" w:hAnsi="Arial" w:cs="Arial"/>
          <w:sz w:val="24"/>
          <w:szCs w:val="24"/>
          <w:lang w:val="en-US"/>
        </w:rPr>
        <w:t xml:space="preserve"> that an investigation is discontinued.</w:t>
      </w:r>
      <w:r w:rsidR="002276CE">
        <w:rPr>
          <w:rFonts w:ascii="Arial" w:hAnsi="Arial" w:cs="Arial"/>
          <w:sz w:val="24"/>
          <w:szCs w:val="24"/>
          <w:lang w:val="en-US"/>
        </w:rPr>
        <w:t xml:space="preserve"> </w:t>
      </w:r>
      <w:r w:rsidR="002276CE" w:rsidRPr="0031262C">
        <w:rPr>
          <w:rFonts w:ascii="Arial" w:hAnsi="Arial" w:cs="Arial"/>
          <w:sz w:val="24"/>
          <w:szCs w:val="24"/>
          <w:lang w:val="en-US"/>
        </w:rPr>
        <w:t>It was, therefore, necessary to create broader categories of decisions types, which combined decisions that mean practically the same thing.</w:t>
      </w:r>
    </w:p>
    <w:p w:rsidR="002276CE" w:rsidRDefault="002276CE">
      <w:pPr>
        <w:rPr>
          <w:rFonts w:ascii="Arial" w:hAnsi="Arial" w:cs="Arial"/>
          <w:sz w:val="24"/>
          <w:szCs w:val="24"/>
          <w:lang w:val="en-US"/>
        </w:rPr>
      </w:pPr>
      <w:r>
        <w:rPr>
          <w:rFonts w:ascii="Arial" w:hAnsi="Arial" w:cs="Arial"/>
          <w:sz w:val="24"/>
          <w:szCs w:val="24"/>
          <w:lang w:val="en-US"/>
        </w:rPr>
        <w:br w:type="page"/>
      </w:r>
    </w:p>
    <w:p w:rsidR="00B177E1" w:rsidRPr="00845EDF" w:rsidRDefault="00B177E1" w:rsidP="003D118F">
      <w:pPr>
        <w:spacing w:after="200" w:line="360" w:lineRule="auto"/>
        <w:rPr>
          <w:rStyle w:val="Betoning"/>
          <w:rFonts w:ascii="Arial" w:hAnsi="Arial" w:cs="Arial"/>
          <w:b/>
          <w:i w:val="0"/>
          <w:lang w:val="en-US"/>
        </w:rPr>
      </w:pPr>
      <w:proofErr w:type="gramStart"/>
      <w:r w:rsidRPr="00845EDF">
        <w:rPr>
          <w:rStyle w:val="Betoning"/>
          <w:rFonts w:ascii="Arial" w:hAnsi="Arial" w:cs="Arial"/>
          <w:b/>
          <w:i w:val="0"/>
          <w:lang w:val="en-US"/>
        </w:rPr>
        <w:lastRenderedPageBreak/>
        <w:t>Table 1.</w:t>
      </w:r>
      <w:proofErr w:type="gramEnd"/>
      <w:r w:rsidRPr="00845EDF">
        <w:rPr>
          <w:rStyle w:val="Betoning"/>
          <w:rFonts w:ascii="Arial" w:hAnsi="Arial" w:cs="Arial"/>
          <w:b/>
          <w:i w:val="0"/>
          <w:lang w:val="en-US"/>
        </w:rPr>
        <w:t xml:space="preserve"> Types of decisions in the data structure that imply that an investigation has been discontinued </w:t>
      </w:r>
    </w:p>
    <w:tbl>
      <w:tblPr>
        <w:tblW w:w="0" w:type="auto"/>
        <w:tblLook w:val="04A0" w:firstRow="1" w:lastRow="0" w:firstColumn="1" w:lastColumn="0" w:noHBand="0" w:noVBand="1"/>
      </w:tblPr>
      <w:tblGrid>
        <w:gridCol w:w="1526"/>
        <w:gridCol w:w="7686"/>
      </w:tblGrid>
      <w:tr w:rsidR="00B177E1" w:rsidRPr="0031262C" w:rsidTr="00673F53">
        <w:tc>
          <w:tcPr>
            <w:tcW w:w="1526" w:type="dxa"/>
            <w:tcBorders>
              <w:top w:val="single" w:sz="4" w:space="0" w:color="auto"/>
              <w:left w:val="nil"/>
              <w:bottom w:val="single" w:sz="4" w:space="0" w:color="auto"/>
              <w:right w:val="nil"/>
            </w:tcBorders>
          </w:tcPr>
          <w:p w:rsidR="00B177E1" w:rsidRPr="0031262C" w:rsidRDefault="00B177E1" w:rsidP="00165F4E">
            <w:pPr>
              <w:spacing w:line="240" w:lineRule="auto"/>
              <w:rPr>
                <w:rFonts w:ascii="Arial" w:hAnsi="Arial" w:cs="Arial"/>
                <w:b/>
                <w:lang w:val="en-US"/>
              </w:rPr>
            </w:pPr>
            <w:r w:rsidRPr="0031262C">
              <w:rPr>
                <w:rFonts w:ascii="Arial" w:hAnsi="Arial" w:cs="Arial"/>
                <w:b/>
                <w:lang w:val="en-US"/>
              </w:rPr>
              <w:t>CODE</w:t>
            </w:r>
          </w:p>
        </w:tc>
        <w:tc>
          <w:tcPr>
            <w:tcW w:w="7686" w:type="dxa"/>
            <w:tcBorders>
              <w:top w:val="single" w:sz="4" w:space="0" w:color="auto"/>
              <w:left w:val="nil"/>
              <w:bottom w:val="single" w:sz="4" w:space="0" w:color="auto"/>
              <w:right w:val="nil"/>
            </w:tcBorders>
          </w:tcPr>
          <w:p w:rsidR="00B177E1" w:rsidRPr="0031262C" w:rsidRDefault="00B177E1" w:rsidP="00165F4E">
            <w:pPr>
              <w:spacing w:line="240" w:lineRule="auto"/>
              <w:rPr>
                <w:rFonts w:ascii="Arial" w:hAnsi="Arial" w:cs="Arial"/>
                <w:b/>
                <w:lang w:val="en-US"/>
              </w:rPr>
            </w:pPr>
            <w:r w:rsidRPr="0031262C">
              <w:rPr>
                <w:rFonts w:ascii="Arial" w:hAnsi="Arial" w:cs="Arial"/>
                <w:b/>
                <w:lang w:val="en-US"/>
              </w:rPr>
              <w:t>Meaning of the decision</w:t>
            </w:r>
          </w:p>
        </w:tc>
      </w:tr>
      <w:tr w:rsidR="00B177E1" w:rsidRPr="0031262C" w:rsidTr="00B177E1">
        <w:tc>
          <w:tcPr>
            <w:tcW w:w="1526" w:type="dxa"/>
            <w:tcBorders>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UTNE</w:t>
            </w:r>
          </w:p>
        </w:tc>
        <w:tc>
          <w:tcPr>
            <w:tcW w:w="7686" w:type="dxa"/>
            <w:tcBorders>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Investigation is discontinued (old decision code still in use)</w:t>
            </w:r>
          </w:p>
        </w:tc>
      </w:tr>
      <w:tr w:rsidR="00B177E1" w:rsidRPr="0031262C" w:rsidTr="00B177E1">
        <w:tc>
          <w:tcPr>
            <w:tcW w:w="152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FUNERAR</w:t>
            </w:r>
          </w:p>
        </w:tc>
        <w:tc>
          <w:tcPr>
            <w:tcW w:w="768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Investigation is discontinued by police (old decision code still in use)</w:t>
            </w:r>
          </w:p>
        </w:tc>
      </w:tr>
      <w:tr w:rsidR="00B177E1" w:rsidRPr="0031262C" w:rsidTr="00B177E1">
        <w:tc>
          <w:tcPr>
            <w:tcW w:w="152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FAAR</w:t>
            </w:r>
          </w:p>
        </w:tc>
        <w:tc>
          <w:tcPr>
            <w:tcW w:w="768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Simplified investigation on suspect is discontinued</w:t>
            </w:r>
          </w:p>
        </w:tc>
      </w:tr>
      <w:tr w:rsidR="00B177E1" w:rsidRPr="0031262C" w:rsidTr="00B177E1">
        <w:tc>
          <w:tcPr>
            <w:tcW w:w="152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FEJR</w:t>
            </w:r>
          </w:p>
        </w:tc>
        <w:tc>
          <w:tcPr>
            <w:tcW w:w="768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Simplified investigation is discontinued</w:t>
            </w:r>
          </w:p>
        </w:tc>
      </w:tr>
      <w:tr w:rsidR="00B177E1" w:rsidRPr="0031262C" w:rsidTr="00B177E1">
        <w:tc>
          <w:tcPr>
            <w:tcW w:w="152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L31AV</w:t>
            </w:r>
          </w:p>
        </w:tc>
        <w:tc>
          <w:tcPr>
            <w:tcW w:w="768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Investigation under the Young Offenders Act is discontinued</w:t>
            </w:r>
          </w:p>
        </w:tc>
      </w:tr>
      <w:tr w:rsidR="00B177E1" w:rsidRPr="0031262C" w:rsidTr="00B177E1">
        <w:tc>
          <w:tcPr>
            <w:tcW w:w="152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L31OP</w:t>
            </w:r>
          </w:p>
        </w:tc>
        <w:tc>
          <w:tcPr>
            <w:tcW w:w="768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Investigation under the Young Offenders Act is handed over to the police for discontinuation</w:t>
            </w:r>
          </w:p>
        </w:tc>
      </w:tr>
      <w:tr w:rsidR="00B177E1" w:rsidRPr="0031262C" w:rsidTr="00B177E1">
        <w:tc>
          <w:tcPr>
            <w:tcW w:w="152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FUNE</w:t>
            </w:r>
          </w:p>
        </w:tc>
        <w:tc>
          <w:tcPr>
            <w:tcW w:w="768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Investigation is discontinued</w:t>
            </w:r>
          </w:p>
        </w:tc>
      </w:tr>
      <w:tr w:rsidR="00B177E1" w:rsidRPr="0031262C" w:rsidTr="00B177E1">
        <w:tc>
          <w:tcPr>
            <w:tcW w:w="152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FUMA</w:t>
            </w:r>
          </w:p>
        </w:tc>
        <w:tc>
          <w:tcPr>
            <w:tcW w:w="7686" w:type="dxa"/>
            <w:tcBorders>
              <w:top w:val="nil"/>
              <w:left w:val="nil"/>
              <w:bottom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Investigation on suspect is discontinued</w:t>
            </w:r>
          </w:p>
        </w:tc>
      </w:tr>
      <w:tr w:rsidR="00B177E1" w:rsidRPr="0031262C" w:rsidTr="00673F53">
        <w:tc>
          <w:tcPr>
            <w:tcW w:w="1526" w:type="dxa"/>
            <w:tcBorders>
              <w:top w:val="nil"/>
              <w:left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FNER</w:t>
            </w:r>
          </w:p>
        </w:tc>
        <w:tc>
          <w:tcPr>
            <w:tcW w:w="7686" w:type="dxa"/>
            <w:tcBorders>
              <w:top w:val="nil"/>
              <w:left w:val="nil"/>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 xml:space="preserve">Final service of discontinued investigation </w:t>
            </w:r>
          </w:p>
        </w:tc>
      </w:tr>
      <w:tr w:rsidR="00B177E1" w:rsidRPr="0031262C" w:rsidTr="00673F53">
        <w:tc>
          <w:tcPr>
            <w:tcW w:w="1526" w:type="dxa"/>
            <w:tcBorders>
              <w:top w:val="nil"/>
              <w:left w:val="nil"/>
              <w:bottom w:val="single" w:sz="4" w:space="0" w:color="auto"/>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FMAR</w:t>
            </w:r>
          </w:p>
        </w:tc>
        <w:tc>
          <w:tcPr>
            <w:tcW w:w="7686" w:type="dxa"/>
            <w:tcBorders>
              <w:top w:val="nil"/>
              <w:left w:val="nil"/>
              <w:bottom w:val="single" w:sz="4" w:space="0" w:color="auto"/>
              <w:right w:val="nil"/>
            </w:tcBorders>
          </w:tcPr>
          <w:p w:rsidR="00B177E1" w:rsidRPr="0031262C" w:rsidRDefault="00B177E1" w:rsidP="00165F4E">
            <w:pPr>
              <w:spacing w:line="240" w:lineRule="auto"/>
              <w:rPr>
                <w:rFonts w:ascii="Arial" w:hAnsi="Arial" w:cs="Arial"/>
                <w:sz w:val="20"/>
                <w:szCs w:val="20"/>
                <w:lang w:val="en-US"/>
              </w:rPr>
            </w:pPr>
            <w:r w:rsidRPr="0031262C">
              <w:rPr>
                <w:rFonts w:ascii="Arial" w:hAnsi="Arial" w:cs="Arial"/>
                <w:sz w:val="20"/>
                <w:szCs w:val="20"/>
                <w:lang w:val="en-US"/>
              </w:rPr>
              <w:t>Final service of discontinued investigation to suspect</w:t>
            </w:r>
          </w:p>
        </w:tc>
      </w:tr>
    </w:tbl>
    <w:p w:rsidR="00C96571" w:rsidRDefault="00C96571" w:rsidP="00686C41">
      <w:pPr>
        <w:spacing w:before="120" w:after="0" w:line="360" w:lineRule="auto"/>
        <w:jc w:val="both"/>
        <w:rPr>
          <w:rFonts w:ascii="Arial" w:hAnsi="Arial" w:cs="Arial"/>
          <w:sz w:val="24"/>
          <w:szCs w:val="24"/>
          <w:lang w:val="en-US"/>
        </w:rPr>
      </w:pP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This resulted in the identification of four primary decision categories: </w:t>
      </w:r>
      <w:r w:rsidRPr="0031262C">
        <w:rPr>
          <w:rFonts w:ascii="Arial" w:hAnsi="Arial" w:cs="Arial"/>
          <w:i/>
          <w:sz w:val="24"/>
          <w:szCs w:val="24"/>
          <w:lang w:val="en-US"/>
        </w:rPr>
        <w:t>Investigation initiated</w:t>
      </w:r>
      <w:r w:rsidRPr="0031262C">
        <w:rPr>
          <w:rFonts w:ascii="Arial" w:hAnsi="Arial" w:cs="Arial"/>
          <w:sz w:val="24"/>
          <w:szCs w:val="24"/>
          <w:lang w:val="en-US"/>
        </w:rPr>
        <w:t xml:space="preserve">, </w:t>
      </w:r>
      <w:r w:rsidRPr="0031262C">
        <w:rPr>
          <w:rFonts w:ascii="Arial" w:hAnsi="Arial" w:cs="Arial"/>
          <w:i/>
          <w:sz w:val="24"/>
          <w:szCs w:val="24"/>
          <w:lang w:val="en-US"/>
        </w:rPr>
        <w:t>investigation discontinued</w:t>
      </w:r>
      <w:r w:rsidRPr="0031262C">
        <w:rPr>
          <w:rFonts w:ascii="Arial" w:hAnsi="Arial" w:cs="Arial"/>
          <w:sz w:val="24"/>
          <w:szCs w:val="24"/>
          <w:lang w:val="en-US"/>
        </w:rPr>
        <w:t xml:space="preserve">, </w:t>
      </w:r>
      <w:r w:rsidRPr="0031262C">
        <w:rPr>
          <w:rFonts w:ascii="Arial" w:hAnsi="Arial" w:cs="Arial"/>
          <w:i/>
          <w:sz w:val="24"/>
          <w:szCs w:val="24"/>
          <w:lang w:val="en-US"/>
        </w:rPr>
        <w:t>investigation completed</w:t>
      </w:r>
      <w:r w:rsidRPr="0031262C">
        <w:rPr>
          <w:rFonts w:ascii="Arial" w:hAnsi="Arial" w:cs="Arial"/>
          <w:sz w:val="24"/>
          <w:szCs w:val="24"/>
          <w:lang w:val="en-US"/>
        </w:rPr>
        <w:t xml:space="preserve"> and </w:t>
      </w:r>
      <w:r w:rsidRPr="0031262C">
        <w:rPr>
          <w:rFonts w:ascii="Arial" w:hAnsi="Arial" w:cs="Arial"/>
          <w:i/>
          <w:sz w:val="24"/>
          <w:szCs w:val="24"/>
          <w:lang w:val="en-US"/>
        </w:rPr>
        <w:t>decision on whether to instigate legal proceedings</w:t>
      </w:r>
      <w:r w:rsidRPr="0031262C">
        <w:rPr>
          <w:rFonts w:ascii="Arial" w:hAnsi="Arial" w:cs="Arial"/>
          <w:sz w:val="24"/>
          <w:szCs w:val="24"/>
          <w:lang w:val="en-US"/>
        </w:rPr>
        <w:t xml:space="preserve">. In addition, some secondary decision categories were identified, but these will not be further </w:t>
      </w:r>
      <w:r w:rsidR="000B540D">
        <w:rPr>
          <w:rFonts w:ascii="Arial" w:hAnsi="Arial" w:cs="Arial"/>
          <w:sz w:val="24"/>
          <w:szCs w:val="24"/>
          <w:lang w:val="en-US"/>
        </w:rPr>
        <w:t>discussed in this paper. A</w:t>
      </w:r>
      <w:r w:rsidRPr="0031262C">
        <w:rPr>
          <w:rFonts w:ascii="Arial" w:hAnsi="Arial" w:cs="Arial"/>
          <w:sz w:val="24"/>
          <w:szCs w:val="24"/>
          <w:lang w:val="en-US"/>
        </w:rPr>
        <w:t xml:space="preserve"> </w:t>
      </w:r>
      <w:r w:rsidR="000B540D">
        <w:rPr>
          <w:rFonts w:ascii="Arial" w:hAnsi="Arial" w:cs="Arial"/>
          <w:sz w:val="24"/>
          <w:szCs w:val="24"/>
          <w:lang w:val="en-US"/>
        </w:rPr>
        <w:t xml:space="preserve">new, </w:t>
      </w:r>
      <w:r w:rsidRPr="0031262C">
        <w:rPr>
          <w:rFonts w:ascii="Arial" w:hAnsi="Arial" w:cs="Arial"/>
          <w:sz w:val="24"/>
          <w:szCs w:val="24"/>
          <w:lang w:val="en-US"/>
        </w:rPr>
        <w:t>interesting aspect</w:t>
      </w:r>
      <w:r w:rsidR="000B540D">
        <w:rPr>
          <w:rFonts w:ascii="Arial" w:hAnsi="Arial" w:cs="Arial"/>
          <w:sz w:val="24"/>
          <w:szCs w:val="24"/>
          <w:lang w:val="en-US"/>
        </w:rPr>
        <w:t xml:space="preserve"> in the statistics </w:t>
      </w:r>
      <w:r w:rsidRPr="0031262C">
        <w:rPr>
          <w:rFonts w:ascii="Arial" w:hAnsi="Arial" w:cs="Arial"/>
          <w:sz w:val="24"/>
          <w:szCs w:val="24"/>
          <w:lang w:val="en-US"/>
        </w:rPr>
        <w:t>is the</w:t>
      </w:r>
      <w:r w:rsidR="000B540D">
        <w:rPr>
          <w:rFonts w:ascii="Arial" w:hAnsi="Arial" w:cs="Arial"/>
          <w:sz w:val="24"/>
          <w:szCs w:val="24"/>
          <w:lang w:val="en-US"/>
        </w:rPr>
        <w:t xml:space="preserve"> presentation of the</w:t>
      </w:r>
      <w:r w:rsidRPr="0031262C">
        <w:rPr>
          <w:rFonts w:ascii="Arial" w:hAnsi="Arial" w:cs="Arial"/>
          <w:sz w:val="24"/>
          <w:szCs w:val="24"/>
          <w:lang w:val="en-US"/>
        </w:rPr>
        <w:t xml:space="preserve"> size of the balances, i.e. the number of offences or crime suspects that are still being processed at the end of the year. The balances are based on the status of the offences or suspects on December 31. For reasons of simplicity, the statuses are grouped into fewer categories in a similar way to that employed in relation to the decision types. If the offence or suspect was in one of the three primary statuses: </w:t>
      </w:r>
      <w:r w:rsidRPr="0031262C">
        <w:rPr>
          <w:rFonts w:ascii="Arial" w:hAnsi="Arial" w:cs="Arial"/>
          <w:i/>
          <w:sz w:val="24"/>
          <w:szCs w:val="24"/>
          <w:lang w:val="en-US"/>
        </w:rPr>
        <w:t>investigation not yet initiated</w:t>
      </w:r>
      <w:r w:rsidRPr="0031262C">
        <w:rPr>
          <w:rFonts w:ascii="Arial" w:hAnsi="Arial" w:cs="Arial"/>
          <w:sz w:val="24"/>
          <w:szCs w:val="24"/>
          <w:lang w:val="en-US"/>
        </w:rPr>
        <w:t xml:space="preserve">, </w:t>
      </w:r>
      <w:r w:rsidRPr="0031262C">
        <w:rPr>
          <w:rFonts w:ascii="Arial" w:hAnsi="Arial" w:cs="Arial"/>
          <w:i/>
          <w:sz w:val="24"/>
          <w:szCs w:val="24"/>
          <w:lang w:val="en-US"/>
        </w:rPr>
        <w:t>under investigation</w:t>
      </w:r>
      <w:r w:rsidRPr="0031262C">
        <w:rPr>
          <w:rFonts w:ascii="Arial" w:hAnsi="Arial" w:cs="Arial"/>
          <w:sz w:val="24"/>
          <w:szCs w:val="24"/>
          <w:lang w:val="en-US"/>
        </w:rPr>
        <w:t xml:space="preserve"> or </w:t>
      </w:r>
      <w:r w:rsidRPr="0031262C">
        <w:rPr>
          <w:rFonts w:ascii="Arial" w:hAnsi="Arial" w:cs="Arial"/>
          <w:i/>
          <w:sz w:val="24"/>
          <w:szCs w:val="24"/>
          <w:lang w:val="en-US"/>
        </w:rPr>
        <w:t>investigation completed</w:t>
      </w:r>
      <w:r w:rsidRPr="0031262C">
        <w:rPr>
          <w:rFonts w:ascii="Arial" w:hAnsi="Arial" w:cs="Arial"/>
          <w:sz w:val="24"/>
          <w:szCs w:val="24"/>
          <w:lang w:val="en-US"/>
        </w:rPr>
        <w:t xml:space="preserve"> (but no decision made on legal proceedings); the offence or the suspect is considered to be part of the balance. Another advantage of presenting both decisions and status is that doing so makes it possible to see both how many offences that have e.g. led to a discontinuation decision during a given year, and how many offences that remain in this discontinuation status of at the end of the year. </w:t>
      </w: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Another important feature of the statistics is that they present both the numbers of offences and suspects subject to a certain type of decision during the calendar year </w:t>
      </w:r>
      <w:r w:rsidRPr="0031262C">
        <w:rPr>
          <w:rFonts w:ascii="Arial" w:hAnsi="Arial" w:cs="Arial"/>
          <w:sz w:val="24"/>
          <w:szCs w:val="24"/>
          <w:lang w:val="en-US"/>
        </w:rPr>
        <w:lastRenderedPageBreak/>
        <w:t xml:space="preserve">of interest, and the numbers of offences and suspects subject to decisions of a certain type during the </w:t>
      </w:r>
      <w:r w:rsidRPr="0031262C">
        <w:rPr>
          <w:rFonts w:ascii="Arial" w:hAnsi="Arial" w:cs="Arial"/>
          <w:sz w:val="24"/>
          <w:szCs w:val="24"/>
          <w:u w:val="single"/>
          <w:lang w:val="en-US"/>
        </w:rPr>
        <w:t>calendar year or earlier</w:t>
      </w:r>
      <w:r w:rsidRPr="0031262C">
        <w:rPr>
          <w:rFonts w:ascii="Arial" w:hAnsi="Arial" w:cs="Arial"/>
          <w:sz w:val="24"/>
          <w:szCs w:val="24"/>
          <w:lang w:val="en-US"/>
        </w:rPr>
        <w:t xml:space="preserve">. The two different time frames fulfill different purposes. To assess the productivity of a specific year, it is of interest to know how many offences that have been subject to a certain decision in that specific year. On the other hand, when relating different types of decisions to each other, all decisions need to be taken into account irrespective of the calendar year. For instance, to calculate the annual proportion of the investigations that were discontinued, you also need to include </w:t>
      </w:r>
      <w:r w:rsidR="00FD1BA3">
        <w:rPr>
          <w:rFonts w:ascii="Arial" w:hAnsi="Arial" w:cs="Arial"/>
          <w:sz w:val="24"/>
          <w:szCs w:val="24"/>
          <w:lang w:val="en-US"/>
        </w:rPr>
        <w:t xml:space="preserve">older </w:t>
      </w:r>
      <w:r w:rsidRPr="0031262C">
        <w:rPr>
          <w:rFonts w:ascii="Arial" w:hAnsi="Arial" w:cs="Arial"/>
          <w:sz w:val="24"/>
          <w:szCs w:val="24"/>
          <w:lang w:val="en-US"/>
        </w:rPr>
        <w:t>investigations that were</w:t>
      </w:r>
      <w:r w:rsidR="00FD1BA3">
        <w:rPr>
          <w:rFonts w:ascii="Arial" w:hAnsi="Arial" w:cs="Arial"/>
          <w:sz w:val="24"/>
          <w:szCs w:val="24"/>
          <w:lang w:val="en-US"/>
        </w:rPr>
        <w:t xml:space="preserve"> still</w:t>
      </w:r>
      <w:r w:rsidRPr="0031262C">
        <w:rPr>
          <w:rFonts w:ascii="Arial" w:hAnsi="Arial" w:cs="Arial"/>
          <w:sz w:val="24"/>
          <w:szCs w:val="24"/>
          <w:lang w:val="en-US"/>
        </w:rPr>
        <w:t xml:space="preserve"> ongoing in the calculation in order to obtain an accurate proportion. In other words, the denominator needs to include investigations that were initiated during the calendar year of interest plus the investigations that were ongoing at the onset of the calendar year of interest.    </w:t>
      </w:r>
    </w:p>
    <w:p w:rsidR="00B177E1" w:rsidRPr="0031262C" w:rsidRDefault="00B177E1" w:rsidP="00FD1BA3">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A further complicating aspect is the connection between reported offences and the suspects linked to these offences. </w:t>
      </w:r>
      <w:r w:rsidR="00FD1BA3" w:rsidRPr="00FD1BA3">
        <w:rPr>
          <w:rFonts w:ascii="Arial" w:hAnsi="Arial" w:cs="Arial"/>
          <w:sz w:val="24"/>
          <w:szCs w:val="24"/>
          <w:lang w:val="en-US"/>
        </w:rPr>
        <w:t xml:space="preserve">If an offence has more than one suspected person, one </w:t>
      </w:r>
      <w:r w:rsidR="00F16F9B">
        <w:rPr>
          <w:rFonts w:ascii="Arial" w:hAnsi="Arial" w:cs="Arial"/>
          <w:sz w:val="24"/>
          <w:szCs w:val="24"/>
          <w:lang w:val="en-US"/>
        </w:rPr>
        <w:t xml:space="preserve">unique </w:t>
      </w:r>
      <w:r w:rsidR="00FD1BA3" w:rsidRPr="00FD1BA3">
        <w:rPr>
          <w:rFonts w:ascii="Arial" w:hAnsi="Arial" w:cs="Arial"/>
          <w:sz w:val="24"/>
          <w:szCs w:val="24"/>
          <w:lang w:val="en-US"/>
        </w:rPr>
        <w:t xml:space="preserve">suspect per person is generated. </w:t>
      </w:r>
      <w:r w:rsidR="00FD1BA3" w:rsidRPr="00F16F9B">
        <w:rPr>
          <w:rFonts w:ascii="Arial" w:hAnsi="Arial" w:cs="Arial"/>
          <w:sz w:val="24"/>
          <w:szCs w:val="24"/>
          <w:lang w:val="en-US"/>
        </w:rPr>
        <w:t xml:space="preserve">Also, a new suspect is generated </w:t>
      </w:r>
      <w:r w:rsidR="00F16F9B" w:rsidRPr="00F16F9B">
        <w:rPr>
          <w:rFonts w:ascii="Arial" w:hAnsi="Arial" w:cs="Arial"/>
          <w:sz w:val="24"/>
          <w:szCs w:val="24"/>
          <w:lang w:val="en-US"/>
        </w:rPr>
        <w:t>for each offence a single person is suspected of</w:t>
      </w:r>
      <w:r w:rsidR="00F16F9B">
        <w:rPr>
          <w:rFonts w:ascii="Arial" w:hAnsi="Arial" w:cs="Arial"/>
          <w:sz w:val="24"/>
          <w:szCs w:val="24"/>
          <w:lang w:val="en-US"/>
        </w:rPr>
        <w:t xml:space="preserve">. </w:t>
      </w:r>
      <w:r w:rsidRPr="0031262C">
        <w:rPr>
          <w:rFonts w:ascii="Arial" w:hAnsi="Arial" w:cs="Arial"/>
          <w:sz w:val="24"/>
          <w:szCs w:val="24"/>
          <w:lang w:val="en-US"/>
        </w:rPr>
        <w:t xml:space="preserve">In many cases, no suspects are linked to an offence at the time it is reported. However, the purpose of a criminal investigation is to identify suspects, and an investigation requires a suspect in order to be completed. This means that one or more suspects are often linked to the offence over the course of this process. In addition, the suspects may be subject to different degrees of suspicion. Investigations that only include suspects subject to the lowest degree of suspicion, </w:t>
      </w:r>
      <w:r w:rsidRPr="0031262C">
        <w:rPr>
          <w:rFonts w:ascii="Arial" w:hAnsi="Arial" w:cs="Arial"/>
          <w:i/>
          <w:sz w:val="24"/>
          <w:szCs w:val="24"/>
          <w:lang w:val="en-US"/>
        </w:rPr>
        <w:t>can be suspected</w:t>
      </w:r>
      <w:r w:rsidRPr="0031262C">
        <w:rPr>
          <w:rFonts w:ascii="Arial" w:hAnsi="Arial" w:cs="Arial"/>
          <w:sz w:val="24"/>
          <w:szCs w:val="24"/>
          <w:lang w:val="en-US"/>
        </w:rPr>
        <w:t xml:space="preserve">, </w:t>
      </w:r>
      <w:proofErr w:type="gramStart"/>
      <w:r w:rsidRPr="0031262C">
        <w:rPr>
          <w:rFonts w:ascii="Arial" w:hAnsi="Arial" w:cs="Arial"/>
          <w:sz w:val="24"/>
          <w:szCs w:val="24"/>
          <w:lang w:val="en-US"/>
        </w:rPr>
        <w:t>can</w:t>
      </w:r>
      <w:proofErr w:type="gramEnd"/>
      <w:r w:rsidRPr="0031262C">
        <w:rPr>
          <w:rFonts w:ascii="Arial" w:hAnsi="Arial" w:cs="Arial"/>
          <w:sz w:val="24"/>
          <w:szCs w:val="24"/>
          <w:lang w:val="en-US"/>
        </w:rPr>
        <w:t xml:space="preserve"> never be completed. For an investigation to be </w:t>
      </w:r>
      <w:proofErr w:type="gramStart"/>
      <w:r w:rsidRPr="0031262C">
        <w:rPr>
          <w:rFonts w:ascii="Arial" w:hAnsi="Arial" w:cs="Arial"/>
          <w:sz w:val="24"/>
          <w:szCs w:val="24"/>
          <w:lang w:val="en-US"/>
        </w:rPr>
        <w:t>com</w:t>
      </w:r>
      <w:r w:rsidR="00673F53">
        <w:rPr>
          <w:rFonts w:ascii="Arial" w:hAnsi="Arial" w:cs="Arial"/>
          <w:sz w:val="24"/>
          <w:szCs w:val="24"/>
          <w:lang w:val="en-US"/>
        </w:rPr>
        <w:t>pleted,</w:t>
      </w:r>
      <w:proofErr w:type="gramEnd"/>
      <w:r w:rsidR="00673F53">
        <w:rPr>
          <w:rFonts w:ascii="Arial" w:hAnsi="Arial" w:cs="Arial"/>
          <w:sz w:val="24"/>
          <w:szCs w:val="24"/>
          <w:lang w:val="en-US"/>
        </w:rPr>
        <w:t xml:space="preserve"> there must be a suspect</w:t>
      </w:r>
      <w:r w:rsidRPr="0031262C">
        <w:rPr>
          <w:rFonts w:ascii="Arial" w:hAnsi="Arial" w:cs="Arial"/>
          <w:sz w:val="24"/>
          <w:szCs w:val="24"/>
          <w:lang w:val="en-US"/>
        </w:rPr>
        <w:t xml:space="preserve"> who is subject to at least </w:t>
      </w:r>
      <w:r w:rsidRPr="0031262C">
        <w:rPr>
          <w:rFonts w:ascii="Arial" w:hAnsi="Arial" w:cs="Arial"/>
          <w:i/>
          <w:sz w:val="24"/>
          <w:szCs w:val="24"/>
          <w:lang w:val="en-US"/>
        </w:rPr>
        <w:t>reasonable suspicion</w:t>
      </w:r>
      <w:r w:rsidRPr="0031262C">
        <w:rPr>
          <w:rFonts w:ascii="Arial" w:hAnsi="Arial" w:cs="Arial"/>
          <w:sz w:val="24"/>
          <w:szCs w:val="24"/>
          <w:lang w:val="en-US"/>
        </w:rPr>
        <w:t xml:space="preserve"> </w:t>
      </w:r>
      <w:r w:rsidRPr="00E0724E">
        <w:rPr>
          <w:rFonts w:ascii="Arial" w:hAnsi="Arial" w:cs="Arial"/>
          <w:sz w:val="24"/>
          <w:szCs w:val="24"/>
          <w:lang w:val="en-US"/>
        </w:rPr>
        <w:t>(</w:t>
      </w:r>
      <w:r w:rsidR="00E0724E" w:rsidRPr="00E0724E">
        <w:rPr>
          <w:rFonts w:ascii="Arial" w:hAnsi="Arial" w:cs="Arial"/>
          <w:sz w:val="24"/>
          <w:szCs w:val="24"/>
          <w:lang w:val="en-US"/>
        </w:rPr>
        <w:t xml:space="preserve">Bring and </w:t>
      </w:r>
      <w:proofErr w:type="spellStart"/>
      <w:r w:rsidR="00E0724E" w:rsidRPr="00E0724E">
        <w:rPr>
          <w:rFonts w:ascii="Arial" w:hAnsi="Arial" w:cs="Arial"/>
          <w:sz w:val="24"/>
          <w:szCs w:val="24"/>
          <w:lang w:val="en-US"/>
        </w:rPr>
        <w:t>Diesen</w:t>
      </w:r>
      <w:proofErr w:type="spellEnd"/>
      <w:r w:rsidR="00E25E65">
        <w:rPr>
          <w:rFonts w:ascii="Arial" w:hAnsi="Arial" w:cs="Arial"/>
          <w:sz w:val="24"/>
          <w:szCs w:val="24"/>
          <w:lang w:val="en-US"/>
        </w:rPr>
        <w:t>,</w:t>
      </w:r>
      <w:r w:rsidR="00E0724E" w:rsidRPr="00E0724E">
        <w:rPr>
          <w:rFonts w:ascii="Arial" w:hAnsi="Arial" w:cs="Arial"/>
          <w:sz w:val="24"/>
          <w:szCs w:val="24"/>
          <w:lang w:val="en-US"/>
        </w:rPr>
        <w:t xml:space="preserve"> 2009</w:t>
      </w:r>
      <w:r w:rsidRPr="00E0724E">
        <w:rPr>
          <w:rFonts w:ascii="Arial" w:hAnsi="Arial" w:cs="Arial"/>
          <w:sz w:val="24"/>
          <w:szCs w:val="24"/>
          <w:lang w:val="en-US"/>
        </w:rPr>
        <w:t>)</w:t>
      </w:r>
      <w:r w:rsidRPr="0031262C">
        <w:rPr>
          <w:rFonts w:ascii="Arial" w:hAnsi="Arial" w:cs="Arial"/>
          <w:sz w:val="24"/>
          <w:szCs w:val="24"/>
          <w:lang w:val="en-US"/>
        </w:rPr>
        <w:t xml:space="preserve">. Furthermore, after the completion of the investigation, all subsequent decisions are made in relation to the suspects. This means that no decisions are made in relation to the offences after this stage. Therefore, the focus of the statistics is primarily on crime suspects who are subject to at least </w:t>
      </w:r>
      <w:r w:rsidRPr="0031262C">
        <w:rPr>
          <w:rFonts w:ascii="Arial" w:hAnsi="Arial" w:cs="Arial"/>
          <w:i/>
          <w:sz w:val="24"/>
          <w:szCs w:val="24"/>
          <w:lang w:val="en-US"/>
        </w:rPr>
        <w:t>reasonable suspicion</w:t>
      </w:r>
      <w:r w:rsidRPr="0031262C">
        <w:rPr>
          <w:rFonts w:ascii="Arial" w:hAnsi="Arial" w:cs="Arial"/>
          <w:sz w:val="24"/>
          <w:szCs w:val="24"/>
          <w:lang w:val="en-US"/>
        </w:rPr>
        <w:t xml:space="preserve">. However, appendices containing detailed results tables are available both for all reported offences and all registered suspects. </w:t>
      </w:r>
    </w:p>
    <w:p w:rsidR="00B177E1" w:rsidRPr="004127D9" w:rsidRDefault="00B177E1" w:rsidP="00845EDF">
      <w:pPr>
        <w:pStyle w:val="Rubrik1"/>
        <w:numPr>
          <w:ilvl w:val="0"/>
          <w:numId w:val="3"/>
        </w:numPr>
        <w:spacing w:before="360" w:line="360" w:lineRule="auto"/>
        <w:ind w:left="357" w:hanging="357"/>
        <w:rPr>
          <w:rFonts w:ascii="Arial" w:hAnsi="Arial" w:cs="Arial"/>
          <w:color w:val="auto"/>
          <w:sz w:val="24"/>
          <w:szCs w:val="24"/>
          <w:lang w:val="en-US"/>
        </w:rPr>
      </w:pPr>
      <w:r w:rsidRPr="004127D9">
        <w:rPr>
          <w:rFonts w:ascii="Arial" w:hAnsi="Arial" w:cs="Arial"/>
          <w:color w:val="auto"/>
          <w:sz w:val="24"/>
          <w:szCs w:val="24"/>
          <w:lang w:val="en-US"/>
        </w:rPr>
        <w:t>Methods</w:t>
      </w: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The aim of the statistics is to give a representative picture of the processing of offences and crime suspects in the presentation year. </w:t>
      </w:r>
      <w:r w:rsidR="000B540D">
        <w:rPr>
          <w:rFonts w:ascii="Arial" w:hAnsi="Arial" w:cs="Arial"/>
          <w:sz w:val="24"/>
          <w:szCs w:val="24"/>
          <w:lang w:val="en-US"/>
        </w:rPr>
        <w:t>However, t</w:t>
      </w:r>
      <w:r w:rsidRPr="0031262C">
        <w:rPr>
          <w:rFonts w:ascii="Arial" w:hAnsi="Arial" w:cs="Arial"/>
          <w:sz w:val="24"/>
          <w:szCs w:val="24"/>
          <w:lang w:val="en-US"/>
        </w:rPr>
        <w:t xml:space="preserve">o capture suspects </w:t>
      </w:r>
      <w:r w:rsidRPr="0031262C">
        <w:rPr>
          <w:rFonts w:ascii="Arial" w:hAnsi="Arial" w:cs="Arial"/>
          <w:sz w:val="24"/>
          <w:szCs w:val="24"/>
          <w:lang w:val="en-US"/>
        </w:rPr>
        <w:lastRenderedPageBreak/>
        <w:t xml:space="preserve">with processing times longer than a year, a reference period is used, in which the presentation year is extended to include the two preceding years. </w:t>
      </w: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In the statistics describing decisions and status, the population of crime suspects consists of all suspects who were originally registered in the presentation year, and who have been linked to offences reported at any time during the reference period, and suspects registered earlier in the reference period who were included in the balance at the beginning of the presentation year. All suspects have a unique status at the end of the year, which means that the sum of all statuses is the same as the total numbers of suspects in the population. In contrast, a suspect may have been subjected to more than one type of decision, for instance both a decision to initiate an investigation and a decision to complete the investigation. Thus, the total numbers of decisions will exceed the total numbers of suspects. However, even though a suspect may be subject to more than one decision of a given type, if for example the investigation of the suspect was discontinued, resumed, and then discontinued a second </w:t>
      </w:r>
      <w:proofErr w:type="gramStart"/>
      <w:r w:rsidRPr="0031262C">
        <w:rPr>
          <w:rFonts w:ascii="Arial" w:hAnsi="Arial" w:cs="Arial"/>
          <w:sz w:val="24"/>
          <w:szCs w:val="24"/>
          <w:lang w:val="en-US"/>
        </w:rPr>
        <w:t>time,</w:t>
      </w:r>
      <w:proofErr w:type="gramEnd"/>
      <w:r w:rsidRPr="0031262C">
        <w:rPr>
          <w:rFonts w:ascii="Arial" w:hAnsi="Arial" w:cs="Arial"/>
          <w:sz w:val="24"/>
          <w:szCs w:val="24"/>
          <w:lang w:val="en-US"/>
        </w:rPr>
        <w:t xml:space="preserve"> decisions of the same type are only counted once.   </w:t>
      </w:r>
    </w:p>
    <w:p w:rsidR="00B177E1"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As for the statistics on processing times, a follow-up period of one year is used. Therefore, the population for the calculation of processing times consists of all crime suspects registered during the year preceding the presentation year. The statistics on processing times present the total time, i.e. from registration to a decision on whether or not to instigate legal proceedings, as well as times for specific parts of the process, e.g. from the initiation of the investigation to completion of the investigation. If a suspect has been subject to more than one decision of the same type, the time for the first of these decisions is employed in the calculation, with the exception of the time for the completion of the investigation, where the time of the last available decision is used. The reason for this exception is that more than one occurrence of a completion decision often means that the first criminal investigation was of insufficient quality to be able to make a decision on whether or not to instigate legal proceedings, and was thus sent back to be supplemented. Therefore, we assessed the latter occurrence of a completion decision to better describe the actual time at which the investigation was in practice completed. The statistics show the median number of days for the various processing time intervals. The reason for choosing the median when measuring the average was t</w:t>
      </w:r>
      <w:r w:rsidR="00AA31AF">
        <w:rPr>
          <w:rFonts w:ascii="Arial" w:hAnsi="Arial" w:cs="Arial"/>
          <w:sz w:val="24"/>
          <w:szCs w:val="24"/>
          <w:lang w:val="en-US"/>
        </w:rPr>
        <w:t>hat the distributions of times we</w:t>
      </w:r>
      <w:r w:rsidRPr="0031262C">
        <w:rPr>
          <w:rFonts w:ascii="Arial" w:hAnsi="Arial" w:cs="Arial"/>
          <w:sz w:val="24"/>
          <w:szCs w:val="24"/>
          <w:lang w:val="en-US"/>
        </w:rPr>
        <w:t xml:space="preserve">re skewed, with </w:t>
      </w:r>
      <w:r w:rsidRPr="0031262C">
        <w:rPr>
          <w:rFonts w:ascii="Arial" w:hAnsi="Arial" w:cs="Arial"/>
          <w:sz w:val="24"/>
          <w:szCs w:val="24"/>
          <w:lang w:val="en-US"/>
        </w:rPr>
        <w:lastRenderedPageBreak/>
        <w:t>most times being relatively short and a smaller number of times considerably longer (se</w:t>
      </w:r>
      <w:r w:rsidR="00B26859">
        <w:rPr>
          <w:rFonts w:ascii="Arial" w:hAnsi="Arial" w:cs="Arial"/>
          <w:sz w:val="24"/>
          <w:szCs w:val="24"/>
          <w:lang w:val="en-US"/>
        </w:rPr>
        <w:t>e</w:t>
      </w:r>
      <w:r w:rsidRPr="0031262C">
        <w:rPr>
          <w:rFonts w:ascii="Arial" w:hAnsi="Arial" w:cs="Arial"/>
          <w:sz w:val="24"/>
          <w:szCs w:val="24"/>
          <w:lang w:val="en-US"/>
        </w:rPr>
        <w:t xml:space="preserve"> figure 2 below).</w:t>
      </w:r>
    </w:p>
    <w:p w:rsidR="00E0724E" w:rsidRPr="0031262C" w:rsidRDefault="00E0724E" w:rsidP="00686C41">
      <w:pPr>
        <w:spacing w:before="120" w:after="0" w:line="360" w:lineRule="auto"/>
        <w:jc w:val="both"/>
        <w:rPr>
          <w:rFonts w:ascii="Arial" w:hAnsi="Arial" w:cs="Arial"/>
          <w:sz w:val="20"/>
          <w:szCs w:val="20"/>
          <w:lang w:val="en-US"/>
        </w:rPr>
      </w:pPr>
    </w:p>
    <w:p w:rsidR="00B177E1" w:rsidRPr="00845EDF" w:rsidRDefault="00B177E1" w:rsidP="003D118F">
      <w:pPr>
        <w:pStyle w:val="Beskrivning"/>
        <w:keepNext/>
        <w:spacing w:line="360" w:lineRule="auto"/>
        <w:rPr>
          <w:rFonts w:ascii="Arial" w:hAnsi="Arial" w:cs="Arial"/>
          <w:b/>
          <w:i w:val="0"/>
          <w:color w:val="auto"/>
          <w:sz w:val="20"/>
          <w:szCs w:val="20"/>
          <w:lang w:val="en-US"/>
        </w:rPr>
      </w:pPr>
      <w:proofErr w:type="gramStart"/>
      <w:r w:rsidRPr="00845EDF">
        <w:rPr>
          <w:rFonts w:ascii="Arial" w:hAnsi="Arial" w:cs="Arial"/>
          <w:b/>
          <w:i w:val="0"/>
          <w:color w:val="auto"/>
          <w:sz w:val="20"/>
          <w:szCs w:val="20"/>
          <w:lang w:val="en-US"/>
        </w:rPr>
        <w:t xml:space="preserve">Figure </w:t>
      </w:r>
      <w:r w:rsidR="00C96571">
        <w:rPr>
          <w:rFonts w:ascii="Arial" w:hAnsi="Arial" w:cs="Arial"/>
          <w:b/>
          <w:i w:val="0"/>
          <w:color w:val="auto"/>
          <w:sz w:val="20"/>
          <w:szCs w:val="20"/>
        </w:rPr>
        <w:t>2</w:t>
      </w:r>
      <w:r w:rsidRPr="00845EDF">
        <w:rPr>
          <w:rFonts w:ascii="Arial" w:hAnsi="Arial" w:cs="Arial"/>
          <w:b/>
          <w:i w:val="0"/>
          <w:color w:val="auto"/>
          <w:sz w:val="20"/>
          <w:szCs w:val="20"/>
          <w:lang w:val="en-US"/>
        </w:rPr>
        <w:t>.</w:t>
      </w:r>
      <w:proofErr w:type="gramEnd"/>
      <w:r w:rsidRPr="00845EDF">
        <w:rPr>
          <w:rFonts w:ascii="Arial" w:hAnsi="Arial" w:cs="Arial"/>
          <w:b/>
          <w:i w:val="0"/>
          <w:color w:val="auto"/>
          <w:sz w:val="20"/>
          <w:szCs w:val="20"/>
          <w:lang w:val="en-US"/>
        </w:rPr>
        <w:t xml:space="preserve"> Distribution of processing times in number of days, from registration to decision on whether to instigate legal proceedings, crime suspects registered in 2017.</w:t>
      </w:r>
    </w:p>
    <w:p w:rsidR="00B177E1" w:rsidRPr="0031262C" w:rsidRDefault="00B177E1" w:rsidP="004127D9">
      <w:pPr>
        <w:pStyle w:val="Brdindrag"/>
        <w:spacing w:line="360" w:lineRule="auto"/>
        <w:ind w:firstLine="0"/>
        <w:rPr>
          <w:rFonts w:ascii="Arial" w:hAnsi="Arial" w:cs="Arial"/>
        </w:rPr>
      </w:pPr>
      <w:r w:rsidRPr="0031262C">
        <w:rPr>
          <w:rStyle w:val="Betoning"/>
          <w:rFonts w:ascii="Arial" w:hAnsi="Arial" w:cs="Arial"/>
          <w:noProof/>
        </w:rPr>
        <mc:AlternateContent>
          <mc:Choice Requires="wps">
            <w:drawing>
              <wp:anchor distT="0" distB="0" distL="114300" distR="114300" simplePos="0" relativeHeight="251661312" behindDoc="0" locked="0" layoutInCell="1" allowOverlap="1" wp14:anchorId="0BD73C82" wp14:editId="5B39074A">
                <wp:simplePos x="0" y="0"/>
                <wp:positionH relativeFrom="column">
                  <wp:posOffset>2421255</wp:posOffset>
                </wp:positionH>
                <wp:positionV relativeFrom="paragraph">
                  <wp:posOffset>2244725</wp:posOffset>
                </wp:positionV>
                <wp:extent cx="1121410" cy="267335"/>
                <wp:effectExtent l="0" t="0" r="254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267335"/>
                        </a:xfrm>
                        <a:prstGeom prst="rect">
                          <a:avLst/>
                        </a:prstGeom>
                        <a:solidFill>
                          <a:srgbClr val="FFFFFF"/>
                        </a:solidFill>
                        <a:ln w="9525">
                          <a:noFill/>
                          <a:miter lim="800000"/>
                          <a:headEnd/>
                          <a:tailEnd/>
                        </a:ln>
                      </wps:spPr>
                      <wps:txbx>
                        <w:txbxContent>
                          <w:p w:rsidR="00AA31AF" w:rsidRPr="002C0A64" w:rsidRDefault="00AA31AF" w:rsidP="00B177E1">
                            <w:pPr>
                              <w:rPr>
                                <w:sz w:val="18"/>
                                <w:szCs w:val="18"/>
                              </w:rPr>
                            </w:pPr>
                            <w:r w:rsidRPr="002C0A64">
                              <w:rPr>
                                <w:sz w:val="18"/>
                                <w:szCs w:val="18"/>
                              </w:rPr>
                              <w:t>Number of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90.65pt;margin-top:176.75pt;width:88.3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" stroked="f">
                <v:textbox>
                  <w:txbxContent>
                    <w:p w:rsidR="00AA31AF" w:rsidRPr="002C0A64" w:rsidRDefault="00AA31AF" w:rsidP="00B177E1">
                      <w:pPr>
                        <w:rPr>
                          <w:sz w:val="18"/>
                          <w:szCs w:val="18"/>
                        </w:rPr>
                      </w:pPr>
                      <w:r w:rsidRPr="002C0A64">
                        <w:rPr>
                          <w:sz w:val="18"/>
                          <w:szCs w:val="18"/>
                        </w:rPr>
                        <w:t>Number of days</w:t>
                      </w:r>
                    </w:p>
                  </w:txbxContent>
                </v:textbox>
              </v:shape>
            </w:pict>
          </mc:Fallback>
        </mc:AlternateContent>
      </w:r>
      <w:r w:rsidRPr="0031262C">
        <w:rPr>
          <w:rFonts w:ascii="Arial" w:hAnsi="Arial" w:cs="Arial"/>
          <w:noProof/>
        </w:rPr>
        <w:drawing>
          <wp:inline distT="0" distB="0" distL="0" distR="0" wp14:anchorId="35D98756" wp14:editId="7529C5D5">
            <wp:extent cx="5748793" cy="2321780"/>
            <wp:effectExtent l="0" t="0" r="4445" b="254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1447" w:rsidRDefault="002B1447" w:rsidP="004127D9">
      <w:pPr>
        <w:spacing w:line="360" w:lineRule="auto"/>
        <w:jc w:val="both"/>
        <w:rPr>
          <w:rFonts w:ascii="Arial" w:hAnsi="Arial" w:cs="Arial"/>
          <w:sz w:val="24"/>
          <w:szCs w:val="24"/>
          <w:lang w:val="en-US"/>
        </w:rPr>
      </w:pPr>
    </w:p>
    <w:p w:rsidR="00845EDF" w:rsidRPr="002B1447" w:rsidRDefault="002B1447" w:rsidP="004127D9">
      <w:pPr>
        <w:spacing w:line="360" w:lineRule="auto"/>
        <w:jc w:val="both"/>
        <w:rPr>
          <w:rFonts w:ascii="Arial" w:hAnsi="Arial" w:cs="Arial"/>
          <w:sz w:val="24"/>
          <w:szCs w:val="24"/>
          <w:lang w:val="en-US"/>
        </w:rPr>
      </w:pPr>
      <w:r>
        <w:rPr>
          <w:rFonts w:ascii="Arial" w:hAnsi="Arial" w:cs="Arial"/>
          <w:sz w:val="24"/>
          <w:szCs w:val="24"/>
          <w:lang w:val="en-US"/>
        </w:rPr>
        <w:t xml:space="preserve">Source: </w:t>
      </w:r>
      <w:proofErr w:type="spellStart"/>
      <w:r>
        <w:rPr>
          <w:rFonts w:ascii="Arial" w:hAnsi="Arial" w:cs="Arial"/>
          <w:sz w:val="24"/>
          <w:szCs w:val="24"/>
          <w:lang w:val="en-US"/>
        </w:rPr>
        <w:t>Brottsförebyggande</w:t>
      </w:r>
      <w:proofErr w:type="spellEnd"/>
      <w:r>
        <w:rPr>
          <w:rFonts w:ascii="Arial" w:hAnsi="Arial" w:cs="Arial"/>
          <w:sz w:val="24"/>
          <w:szCs w:val="24"/>
          <w:lang w:val="en-US"/>
        </w:rPr>
        <w:t xml:space="preserve"> </w:t>
      </w:r>
      <w:proofErr w:type="spellStart"/>
      <w:r>
        <w:rPr>
          <w:rFonts w:ascii="Arial" w:hAnsi="Arial" w:cs="Arial"/>
          <w:sz w:val="24"/>
          <w:szCs w:val="24"/>
          <w:lang w:val="en-US"/>
        </w:rPr>
        <w:t>rådet</w:t>
      </w:r>
      <w:proofErr w:type="spellEnd"/>
      <w:r>
        <w:rPr>
          <w:rFonts w:ascii="Arial" w:hAnsi="Arial" w:cs="Arial"/>
          <w:sz w:val="24"/>
          <w:szCs w:val="24"/>
          <w:lang w:val="en-US"/>
        </w:rPr>
        <w:t xml:space="preserve"> 2019b</w:t>
      </w:r>
    </w:p>
    <w:p w:rsidR="00B177E1" w:rsidRPr="004127D9" w:rsidRDefault="00B177E1" w:rsidP="00845EDF">
      <w:pPr>
        <w:pStyle w:val="Rubrik1"/>
        <w:numPr>
          <w:ilvl w:val="0"/>
          <w:numId w:val="3"/>
        </w:numPr>
        <w:spacing w:before="360" w:line="360" w:lineRule="auto"/>
        <w:ind w:left="357" w:hanging="357"/>
        <w:rPr>
          <w:rFonts w:ascii="Arial" w:hAnsi="Arial" w:cs="Arial"/>
          <w:color w:val="auto"/>
          <w:sz w:val="24"/>
          <w:szCs w:val="24"/>
          <w:lang w:val="en-US"/>
        </w:rPr>
      </w:pPr>
      <w:r w:rsidRPr="004127D9">
        <w:rPr>
          <w:rFonts w:ascii="Arial" w:hAnsi="Arial" w:cs="Arial"/>
          <w:color w:val="auto"/>
          <w:sz w:val="24"/>
          <w:szCs w:val="24"/>
          <w:lang w:val="en-US"/>
        </w:rPr>
        <w:t>Examples of results</w:t>
      </w: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This section presents a number of results that are intended to illustrate information that is produce</w:t>
      </w:r>
      <w:r w:rsidR="008D44A9">
        <w:rPr>
          <w:rFonts w:ascii="Arial" w:hAnsi="Arial" w:cs="Arial"/>
          <w:sz w:val="24"/>
          <w:szCs w:val="24"/>
          <w:lang w:val="en-US"/>
        </w:rPr>
        <w:t>d</w:t>
      </w:r>
      <w:r w:rsidRPr="0031262C">
        <w:rPr>
          <w:rFonts w:ascii="Arial" w:hAnsi="Arial" w:cs="Arial"/>
          <w:sz w:val="24"/>
          <w:szCs w:val="24"/>
          <w:lang w:val="en-US"/>
        </w:rPr>
        <w:t xml:space="preserve"> on the basis of the new statistics on the criminal justice process</w:t>
      </w:r>
      <w:r w:rsidR="002B1447">
        <w:rPr>
          <w:rFonts w:ascii="Arial" w:hAnsi="Arial" w:cs="Arial"/>
          <w:sz w:val="24"/>
          <w:szCs w:val="24"/>
          <w:lang w:val="en-US"/>
        </w:rPr>
        <w:t xml:space="preserve"> (</w:t>
      </w:r>
      <w:proofErr w:type="spellStart"/>
      <w:r w:rsidR="002B1447">
        <w:rPr>
          <w:rFonts w:ascii="Arial" w:hAnsi="Arial" w:cs="Arial"/>
          <w:sz w:val="24"/>
          <w:szCs w:val="24"/>
          <w:lang w:val="en-US"/>
        </w:rPr>
        <w:t>Brottsförebyggande</w:t>
      </w:r>
      <w:proofErr w:type="spellEnd"/>
      <w:r w:rsidR="002B1447">
        <w:rPr>
          <w:rFonts w:ascii="Arial" w:hAnsi="Arial" w:cs="Arial"/>
          <w:sz w:val="24"/>
          <w:szCs w:val="24"/>
          <w:lang w:val="en-US"/>
        </w:rPr>
        <w:t xml:space="preserve"> </w:t>
      </w:r>
      <w:proofErr w:type="spellStart"/>
      <w:r w:rsidR="002B1447">
        <w:rPr>
          <w:rFonts w:ascii="Arial" w:hAnsi="Arial" w:cs="Arial"/>
          <w:sz w:val="24"/>
          <w:szCs w:val="24"/>
          <w:lang w:val="en-US"/>
        </w:rPr>
        <w:t>rådet</w:t>
      </w:r>
      <w:proofErr w:type="spellEnd"/>
      <w:r w:rsidR="00E25E65">
        <w:rPr>
          <w:rFonts w:ascii="Arial" w:hAnsi="Arial" w:cs="Arial"/>
          <w:sz w:val="24"/>
          <w:szCs w:val="24"/>
          <w:lang w:val="en-US"/>
        </w:rPr>
        <w:t>,</w:t>
      </w:r>
      <w:r w:rsidR="002B1447">
        <w:rPr>
          <w:rFonts w:ascii="Arial" w:hAnsi="Arial" w:cs="Arial"/>
          <w:sz w:val="24"/>
          <w:szCs w:val="24"/>
          <w:lang w:val="en-US"/>
        </w:rPr>
        <w:t xml:space="preserve"> 2019c)</w:t>
      </w:r>
      <w:r w:rsidRPr="0031262C">
        <w:rPr>
          <w:rFonts w:ascii="Arial" w:hAnsi="Arial" w:cs="Arial"/>
          <w:sz w:val="24"/>
          <w:szCs w:val="24"/>
          <w:lang w:val="en-US"/>
        </w:rPr>
        <w:t xml:space="preserve">. The purpose of the section is not to give an exhaustive account of all results that are included in the new statistical product, but to give examples of the most important types of results that the new statistics have made possible. It should be kept in mind that the results presented throughout this section only apply to crime suspects subject to at least a </w:t>
      </w:r>
      <w:r w:rsidRPr="0031262C">
        <w:rPr>
          <w:rFonts w:ascii="Arial" w:hAnsi="Arial" w:cs="Arial"/>
          <w:i/>
          <w:sz w:val="24"/>
          <w:szCs w:val="24"/>
          <w:lang w:val="en-US"/>
        </w:rPr>
        <w:t>reasonable suspicion</w:t>
      </w:r>
      <w:r w:rsidRPr="0031262C">
        <w:rPr>
          <w:rFonts w:ascii="Arial" w:hAnsi="Arial" w:cs="Arial"/>
          <w:sz w:val="24"/>
          <w:szCs w:val="24"/>
          <w:lang w:val="en-US"/>
        </w:rPr>
        <w:t>.</w:t>
      </w:r>
    </w:p>
    <w:p w:rsidR="00B177E1" w:rsidRPr="0031262C" w:rsidRDefault="00B177E1" w:rsidP="00686C41">
      <w:pPr>
        <w:spacing w:before="120" w:after="0" w:line="360" w:lineRule="auto"/>
        <w:jc w:val="both"/>
        <w:rPr>
          <w:rFonts w:ascii="Arial" w:hAnsi="Arial" w:cs="Arial"/>
          <w:sz w:val="20"/>
          <w:szCs w:val="20"/>
          <w:lang w:val="en-US"/>
        </w:rPr>
      </w:pPr>
      <w:r w:rsidRPr="0031262C">
        <w:rPr>
          <w:rFonts w:ascii="Arial" w:hAnsi="Arial" w:cs="Arial"/>
          <w:sz w:val="24"/>
          <w:szCs w:val="24"/>
          <w:lang w:val="en-US"/>
        </w:rPr>
        <w:t xml:space="preserve">First of all, the statistics estimate the total numbers of crime suspects that the investigative and prosecuting authorities have had to process during a specific year. </w:t>
      </w:r>
      <w:r w:rsidR="008D44A9">
        <w:rPr>
          <w:rFonts w:ascii="Arial" w:hAnsi="Arial" w:cs="Arial"/>
          <w:sz w:val="24"/>
          <w:szCs w:val="24"/>
          <w:lang w:val="en-US"/>
        </w:rPr>
        <w:t>The suspects are divided by</w:t>
      </w:r>
      <w:r w:rsidRPr="0031262C">
        <w:rPr>
          <w:rFonts w:ascii="Arial" w:hAnsi="Arial" w:cs="Arial"/>
          <w:sz w:val="24"/>
          <w:szCs w:val="24"/>
          <w:lang w:val="en-US"/>
        </w:rPr>
        <w:t xml:space="preserve"> the number of suspects registered during the presentation year (2018) and the number of suspects registered during previous years (balance), see figure 3 below. The figure also shows how the numbers have changed in relation to 2017</w:t>
      </w:r>
      <w:r w:rsidR="002B1447">
        <w:rPr>
          <w:rFonts w:ascii="Arial" w:hAnsi="Arial" w:cs="Arial"/>
          <w:sz w:val="24"/>
          <w:szCs w:val="24"/>
          <w:lang w:val="en-US"/>
        </w:rPr>
        <w:t xml:space="preserve"> (</w:t>
      </w:r>
      <w:proofErr w:type="spellStart"/>
      <w:r w:rsidR="002B1447">
        <w:rPr>
          <w:rFonts w:ascii="Arial" w:hAnsi="Arial" w:cs="Arial"/>
          <w:sz w:val="24"/>
          <w:szCs w:val="24"/>
          <w:lang w:val="en-US"/>
        </w:rPr>
        <w:t>Brottsförebyggande</w:t>
      </w:r>
      <w:proofErr w:type="spellEnd"/>
      <w:r w:rsidR="002B1447">
        <w:rPr>
          <w:rFonts w:ascii="Arial" w:hAnsi="Arial" w:cs="Arial"/>
          <w:sz w:val="24"/>
          <w:szCs w:val="24"/>
          <w:lang w:val="en-US"/>
        </w:rPr>
        <w:t xml:space="preserve"> </w:t>
      </w:r>
      <w:proofErr w:type="spellStart"/>
      <w:r w:rsidR="002B1447">
        <w:rPr>
          <w:rFonts w:ascii="Arial" w:hAnsi="Arial" w:cs="Arial"/>
          <w:sz w:val="24"/>
          <w:szCs w:val="24"/>
          <w:lang w:val="en-US"/>
        </w:rPr>
        <w:t>rådet</w:t>
      </w:r>
      <w:proofErr w:type="spellEnd"/>
      <w:r w:rsidR="002B1447">
        <w:rPr>
          <w:rFonts w:ascii="Arial" w:hAnsi="Arial" w:cs="Arial"/>
          <w:sz w:val="24"/>
          <w:szCs w:val="24"/>
          <w:lang w:val="en-US"/>
        </w:rPr>
        <w:t xml:space="preserve"> 2019c)</w:t>
      </w:r>
      <w:r w:rsidRPr="0031262C">
        <w:rPr>
          <w:rFonts w:ascii="Arial" w:hAnsi="Arial" w:cs="Arial"/>
          <w:sz w:val="24"/>
          <w:szCs w:val="24"/>
          <w:lang w:val="en-US"/>
        </w:rPr>
        <w:t>.</w:t>
      </w:r>
    </w:p>
    <w:p w:rsidR="00B177E1" w:rsidRPr="00845EDF" w:rsidRDefault="00B177E1" w:rsidP="003D118F">
      <w:pPr>
        <w:pStyle w:val="Beskrivning"/>
        <w:keepNext/>
        <w:spacing w:line="360" w:lineRule="auto"/>
        <w:rPr>
          <w:rFonts w:ascii="Arial" w:hAnsi="Arial" w:cs="Arial"/>
          <w:b/>
          <w:i w:val="0"/>
          <w:color w:val="auto"/>
          <w:sz w:val="20"/>
          <w:szCs w:val="20"/>
          <w:lang w:val="en-US"/>
        </w:rPr>
      </w:pPr>
      <w:proofErr w:type="gramStart"/>
      <w:r w:rsidRPr="00845EDF">
        <w:rPr>
          <w:rFonts w:ascii="Arial" w:hAnsi="Arial" w:cs="Arial"/>
          <w:b/>
          <w:i w:val="0"/>
          <w:color w:val="auto"/>
          <w:sz w:val="20"/>
          <w:szCs w:val="20"/>
          <w:lang w:val="en-US"/>
        </w:rPr>
        <w:lastRenderedPageBreak/>
        <w:t xml:space="preserve">Figure </w:t>
      </w:r>
      <w:r w:rsidRPr="00845EDF">
        <w:rPr>
          <w:rFonts w:ascii="Arial" w:hAnsi="Arial" w:cs="Arial"/>
          <w:b/>
          <w:i w:val="0"/>
          <w:noProof/>
          <w:color w:val="auto"/>
          <w:sz w:val="20"/>
          <w:szCs w:val="20"/>
          <w:lang w:val="en-US"/>
        </w:rPr>
        <w:t>3</w:t>
      </w:r>
      <w:r w:rsidRPr="00845EDF">
        <w:rPr>
          <w:rFonts w:ascii="Arial" w:hAnsi="Arial" w:cs="Arial"/>
          <w:b/>
          <w:i w:val="0"/>
          <w:color w:val="auto"/>
          <w:sz w:val="20"/>
          <w:szCs w:val="20"/>
          <w:lang w:val="en-US"/>
        </w:rPr>
        <w:t>.</w:t>
      </w:r>
      <w:proofErr w:type="gramEnd"/>
      <w:r w:rsidRPr="00845EDF">
        <w:rPr>
          <w:rFonts w:ascii="Arial" w:hAnsi="Arial" w:cs="Arial"/>
          <w:b/>
          <w:i w:val="0"/>
          <w:color w:val="auto"/>
          <w:sz w:val="20"/>
          <w:szCs w:val="20"/>
          <w:lang w:val="en-US"/>
        </w:rPr>
        <w:t xml:space="preserve"> Number of registered crime suspects, 2018 and 2017 respectively, divided by number of suspects registered during the presentation year and the number of suspects in balance at the beginning of each year.</w:t>
      </w:r>
    </w:p>
    <w:p w:rsidR="00B177E1" w:rsidRDefault="00B177E1" w:rsidP="004127D9">
      <w:pPr>
        <w:spacing w:line="360" w:lineRule="auto"/>
        <w:jc w:val="center"/>
        <w:rPr>
          <w:rFonts w:ascii="Arial" w:hAnsi="Arial" w:cs="Arial"/>
          <w:lang w:val="en-US"/>
        </w:rPr>
      </w:pPr>
      <w:r w:rsidRPr="0031262C">
        <w:rPr>
          <w:rFonts w:ascii="Arial" w:hAnsi="Arial" w:cs="Arial"/>
          <w:noProof/>
          <w:lang w:val="sv-SE" w:eastAsia="sv-SE"/>
        </w:rPr>
        <w:drawing>
          <wp:inline distT="0" distB="0" distL="0" distR="0" wp14:anchorId="5E97632E" wp14:editId="70C4BDA4">
            <wp:extent cx="4063042" cy="1457864"/>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1447" w:rsidRDefault="002B1447" w:rsidP="00FC5F70">
      <w:pPr>
        <w:spacing w:before="120" w:after="0" w:line="360" w:lineRule="auto"/>
        <w:jc w:val="both"/>
        <w:rPr>
          <w:rFonts w:ascii="Arial" w:hAnsi="Arial" w:cs="Arial"/>
          <w:sz w:val="24"/>
          <w:szCs w:val="24"/>
          <w:lang w:val="en-US"/>
        </w:rPr>
      </w:pPr>
      <w:r>
        <w:rPr>
          <w:rFonts w:ascii="Arial" w:hAnsi="Arial" w:cs="Arial"/>
          <w:sz w:val="24"/>
          <w:szCs w:val="24"/>
          <w:lang w:val="en-US"/>
        </w:rPr>
        <w:t>Source</w:t>
      </w:r>
      <w:r w:rsidR="00FC5F70">
        <w:rPr>
          <w:rFonts w:ascii="Arial" w:hAnsi="Arial" w:cs="Arial"/>
          <w:sz w:val="24"/>
          <w:szCs w:val="24"/>
          <w:lang w:val="en-US"/>
        </w:rPr>
        <w:t xml:space="preserve">: </w:t>
      </w:r>
      <w:proofErr w:type="spellStart"/>
      <w:r w:rsidR="00FC5F70">
        <w:rPr>
          <w:rFonts w:ascii="Arial" w:hAnsi="Arial" w:cs="Arial"/>
          <w:sz w:val="24"/>
          <w:szCs w:val="24"/>
          <w:lang w:val="en-US"/>
        </w:rPr>
        <w:t>Brottsförebyggande</w:t>
      </w:r>
      <w:proofErr w:type="spellEnd"/>
      <w:r w:rsidR="00FC5F70">
        <w:rPr>
          <w:rFonts w:ascii="Arial" w:hAnsi="Arial" w:cs="Arial"/>
          <w:sz w:val="24"/>
          <w:szCs w:val="24"/>
          <w:lang w:val="en-US"/>
        </w:rPr>
        <w:t xml:space="preserve"> </w:t>
      </w:r>
      <w:proofErr w:type="spellStart"/>
      <w:r w:rsidR="00FC5F70">
        <w:rPr>
          <w:rFonts w:ascii="Arial" w:hAnsi="Arial" w:cs="Arial"/>
          <w:sz w:val="24"/>
          <w:szCs w:val="24"/>
          <w:lang w:val="en-US"/>
        </w:rPr>
        <w:t>rådet</w:t>
      </w:r>
      <w:proofErr w:type="spellEnd"/>
      <w:r w:rsidR="00FC5F70">
        <w:rPr>
          <w:rFonts w:ascii="Arial" w:hAnsi="Arial" w:cs="Arial"/>
          <w:sz w:val="24"/>
          <w:szCs w:val="24"/>
          <w:lang w:val="en-US"/>
        </w:rPr>
        <w:t xml:space="preserve"> 2019c</w:t>
      </w:r>
    </w:p>
    <w:p w:rsidR="00FC5F70" w:rsidRPr="00FC5F70" w:rsidRDefault="00FC5F70" w:rsidP="00FC5F70">
      <w:pPr>
        <w:spacing w:before="120" w:after="0" w:line="360" w:lineRule="auto"/>
        <w:jc w:val="both"/>
        <w:rPr>
          <w:rFonts w:ascii="Arial" w:hAnsi="Arial" w:cs="Arial"/>
          <w:sz w:val="24"/>
          <w:szCs w:val="24"/>
          <w:lang w:val="en-US"/>
        </w:rPr>
      </w:pP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As mentioned previously, one important feature of the new statistics is that crime suspects constitute the primary object of interest. This means that it is possible to identify all types of decisions that have been made in relation to a certain suspect, irrespective of whether these decisions have been made by the police or the prosecutor. The information on the balances and the decisions that have been tracked from previous years allow for several new possibilities regarding the calculation of the proportions of suspects who have been subject to different types of decisions. Figure 4 below shows the total number of processed suspects in 2018 and the numbers that have been subject to decisions regarding the initiation of an investigation, the discontinuation of an investigation and the completion of an investigation. Note that the decisions may have been made anytime during the reference period (2016–2018). The figure also shows the proportions of suspects who have been subject to different types of decisions. For instance, for 39 percent of the suspects for whom an investigation was initiated, the investigation had been completed</w:t>
      </w:r>
      <w:r w:rsidR="00FC5F70">
        <w:rPr>
          <w:rFonts w:ascii="Arial" w:hAnsi="Arial" w:cs="Arial"/>
          <w:sz w:val="24"/>
          <w:szCs w:val="24"/>
          <w:lang w:val="en-US"/>
        </w:rPr>
        <w:t xml:space="preserve"> (</w:t>
      </w:r>
      <w:proofErr w:type="spellStart"/>
      <w:r w:rsidR="00FC5F70">
        <w:rPr>
          <w:rFonts w:ascii="Arial" w:hAnsi="Arial" w:cs="Arial"/>
          <w:sz w:val="24"/>
          <w:szCs w:val="24"/>
          <w:lang w:val="en-US"/>
        </w:rPr>
        <w:t>Brottsförebyggande</w:t>
      </w:r>
      <w:proofErr w:type="spellEnd"/>
      <w:r w:rsidR="00FC5F70">
        <w:rPr>
          <w:rFonts w:ascii="Arial" w:hAnsi="Arial" w:cs="Arial"/>
          <w:sz w:val="24"/>
          <w:szCs w:val="24"/>
          <w:lang w:val="en-US"/>
        </w:rPr>
        <w:t xml:space="preserve"> </w:t>
      </w:r>
      <w:proofErr w:type="spellStart"/>
      <w:r w:rsidR="00FC5F70">
        <w:rPr>
          <w:rFonts w:ascii="Arial" w:hAnsi="Arial" w:cs="Arial"/>
          <w:sz w:val="24"/>
          <w:szCs w:val="24"/>
          <w:lang w:val="en-US"/>
        </w:rPr>
        <w:t>rådet</w:t>
      </w:r>
      <w:proofErr w:type="spellEnd"/>
      <w:r w:rsidR="00E25E65">
        <w:rPr>
          <w:rFonts w:ascii="Arial" w:hAnsi="Arial" w:cs="Arial"/>
          <w:sz w:val="24"/>
          <w:szCs w:val="24"/>
          <w:lang w:val="en-US"/>
        </w:rPr>
        <w:t>,</w:t>
      </w:r>
      <w:r w:rsidR="00FC5F70">
        <w:rPr>
          <w:rFonts w:ascii="Arial" w:hAnsi="Arial" w:cs="Arial"/>
          <w:sz w:val="24"/>
          <w:szCs w:val="24"/>
          <w:lang w:val="en-US"/>
        </w:rPr>
        <w:t xml:space="preserve"> 2019c)</w:t>
      </w:r>
      <w:r w:rsidRPr="0031262C">
        <w:rPr>
          <w:rFonts w:ascii="Arial" w:hAnsi="Arial" w:cs="Arial"/>
          <w:sz w:val="24"/>
          <w:szCs w:val="24"/>
          <w:lang w:val="en-US"/>
        </w:rPr>
        <w:t xml:space="preserve">. Two important remarks are needed here. First, the fact that a suspect has been subject to a certain decision does not necessarily mean that the decision was the final one. For instance, for about 6,000 of the suspects who were subject to a discontinuation decision, the investigation was either ongoing or had been completed at the end of 2018. Second, as a result of the complex reality of criminal justice processing, no types of decisions are mutually exclusive. For instance, some of the suspects subject to a completion had also been subject to a discontinuation decision. </w:t>
      </w:r>
    </w:p>
    <w:p w:rsidR="00B177E1" w:rsidRPr="00845EDF" w:rsidRDefault="00B177E1" w:rsidP="00686C41">
      <w:pPr>
        <w:pStyle w:val="Beskrivning"/>
        <w:keepNext/>
        <w:spacing w:line="360" w:lineRule="auto"/>
        <w:jc w:val="both"/>
        <w:rPr>
          <w:rFonts w:ascii="Arial" w:hAnsi="Arial" w:cs="Arial"/>
          <w:b/>
          <w:i w:val="0"/>
          <w:color w:val="auto"/>
          <w:sz w:val="20"/>
          <w:szCs w:val="20"/>
          <w:lang w:val="en-US"/>
        </w:rPr>
      </w:pPr>
      <w:proofErr w:type="gramStart"/>
      <w:r w:rsidRPr="00845EDF">
        <w:rPr>
          <w:rFonts w:ascii="Arial" w:hAnsi="Arial" w:cs="Arial"/>
          <w:b/>
          <w:i w:val="0"/>
          <w:color w:val="auto"/>
          <w:sz w:val="20"/>
          <w:szCs w:val="20"/>
          <w:lang w:val="en-US"/>
        </w:rPr>
        <w:lastRenderedPageBreak/>
        <w:t xml:space="preserve">Figure </w:t>
      </w:r>
      <w:r w:rsidRPr="00845EDF">
        <w:rPr>
          <w:rFonts w:ascii="Arial" w:hAnsi="Arial" w:cs="Arial"/>
          <w:b/>
          <w:i w:val="0"/>
          <w:noProof/>
          <w:color w:val="auto"/>
          <w:sz w:val="20"/>
          <w:szCs w:val="20"/>
          <w:lang w:val="en-US"/>
        </w:rPr>
        <w:t>4</w:t>
      </w:r>
      <w:r w:rsidRPr="00845EDF">
        <w:rPr>
          <w:rFonts w:ascii="Arial" w:hAnsi="Arial" w:cs="Arial"/>
          <w:b/>
          <w:i w:val="0"/>
          <w:color w:val="auto"/>
          <w:sz w:val="20"/>
          <w:szCs w:val="20"/>
          <w:lang w:val="en-US"/>
        </w:rPr>
        <w:t>.</w:t>
      </w:r>
      <w:proofErr w:type="gramEnd"/>
      <w:r w:rsidRPr="00845EDF">
        <w:rPr>
          <w:rFonts w:ascii="Arial" w:hAnsi="Arial" w:cs="Arial"/>
          <w:b/>
          <w:i w:val="0"/>
          <w:color w:val="auto"/>
          <w:sz w:val="20"/>
          <w:szCs w:val="20"/>
          <w:lang w:val="en-US"/>
        </w:rPr>
        <w:t xml:space="preserve"> Illustration of the decisions made in relation to crime suspects by the investigative and prosecuting authorities in 2018.</w:t>
      </w:r>
    </w:p>
    <w:p w:rsidR="00B177E1" w:rsidRPr="0031262C" w:rsidRDefault="00B177E1" w:rsidP="004127D9">
      <w:pPr>
        <w:pStyle w:val="Brdindrag"/>
        <w:spacing w:line="360" w:lineRule="auto"/>
        <w:ind w:firstLine="0"/>
        <w:rPr>
          <w:rFonts w:ascii="Arial" w:hAnsi="Arial" w:cs="Arial"/>
        </w:rPr>
      </w:pPr>
      <w:r w:rsidRPr="0031262C">
        <w:rPr>
          <w:rFonts w:ascii="Arial" w:hAnsi="Arial" w:cs="Arial"/>
          <w:noProof/>
        </w:rPr>
        <w:drawing>
          <wp:inline distT="0" distB="0" distL="0" distR="0" wp14:anchorId="46AC25ED" wp14:editId="5537DDC6">
            <wp:extent cx="5796000" cy="1693484"/>
            <wp:effectExtent l="0" t="0" r="0" b="254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000" cy="1693484"/>
                    </a:xfrm>
                    <a:prstGeom prst="rect">
                      <a:avLst/>
                    </a:prstGeom>
                    <a:noFill/>
                  </pic:spPr>
                </pic:pic>
              </a:graphicData>
            </a:graphic>
          </wp:inline>
        </w:drawing>
      </w:r>
    </w:p>
    <w:p w:rsidR="00B177E1" w:rsidRPr="00FC5F70" w:rsidRDefault="00FC5F70" w:rsidP="00FC5F70">
      <w:pPr>
        <w:spacing w:before="120" w:after="0" w:line="360" w:lineRule="auto"/>
        <w:jc w:val="both"/>
        <w:rPr>
          <w:rFonts w:ascii="Arial" w:hAnsi="Arial" w:cs="Arial"/>
          <w:sz w:val="24"/>
          <w:szCs w:val="24"/>
          <w:lang w:val="en-US"/>
        </w:rPr>
      </w:pPr>
      <w:r>
        <w:rPr>
          <w:rFonts w:ascii="Arial" w:hAnsi="Arial" w:cs="Arial"/>
          <w:sz w:val="24"/>
          <w:szCs w:val="24"/>
          <w:lang w:val="en-US"/>
        </w:rPr>
        <w:t xml:space="preserve">Source: </w:t>
      </w:r>
      <w:proofErr w:type="spellStart"/>
      <w:r>
        <w:rPr>
          <w:rFonts w:ascii="Arial" w:hAnsi="Arial" w:cs="Arial"/>
          <w:sz w:val="24"/>
          <w:szCs w:val="24"/>
          <w:lang w:val="en-US"/>
        </w:rPr>
        <w:t>Brottsförebyggande</w:t>
      </w:r>
      <w:proofErr w:type="spellEnd"/>
      <w:r>
        <w:rPr>
          <w:rFonts w:ascii="Arial" w:hAnsi="Arial" w:cs="Arial"/>
          <w:sz w:val="24"/>
          <w:szCs w:val="24"/>
          <w:lang w:val="en-US"/>
        </w:rPr>
        <w:t xml:space="preserve"> </w:t>
      </w:r>
      <w:proofErr w:type="spellStart"/>
      <w:r>
        <w:rPr>
          <w:rFonts w:ascii="Arial" w:hAnsi="Arial" w:cs="Arial"/>
          <w:sz w:val="24"/>
          <w:szCs w:val="24"/>
          <w:lang w:val="en-US"/>
        </w:rPr>
        <w:t>rådet</w:t>
      </w:r>
      <w:proofErr w:type="spellEnd"/>
      <w:r>
        <w:rPr>
          <w:rFonts w:ascii="Arial" w:hAnsi="Arial" w:cs="Arial"/>
          <w:sz w:val="24"/>
          <w:szCs w:val="24"/>
          <w:lang w:val="en-US"/>
        </w:rPr>
        <w:t xml:space="preserve"> 2019b</w:t>
      </w:r>
    </w:p>
    <w:p w:rsidR="00FC5F70" w:rsidRDefault="00FC5F70" w:rsidP="00FC5F70">
      <w:pPr>
        <w:spacing w:before="120" w:after="0" w:line="360" w:lineRule="auto"/>
        <w:jc w:val="both"/>
        <w:rPr>
          <w:rFonts w:ascii="Arial" w:hAnsi="Arial" w:cs="Arial"/>
          <w:sz w:val="24"/>
          <w:szCs w:val="24"/>
          <w:lang w:val="en-US" w:eastAsia="sv-SE"/>
        </w:rPr>
      </w:pPr>
    </w:p>
    <w:p w:rsidR="00B177E1" w:rsidRDefault="00B177E1" w:rsidP="00686C41">
      <w:pPr>
        <w:spacing w:before="120" w:after="0" w:line="360" w:lineRule="auto"/>
        <w:jc w:val="both"/>
        <w:rPr>
          <w:rFonts w:ascii="Arial" w:hAnsi="Arial" w:cs="Arial"/>
          <w:sz w:val="24"/>
          <w:szCs w:val="24"/>
          <w:lang w:val="en-US" w:eastAsia="sv-SE"/>
        </w:rPr>
      </w:pPr>
      <w:r w:rsidRPr="0031262C">
        <w:rPr>
          <w:rFonts w:ascii="Arial" w:hAnsi="Arial" w:cs="Arial"/>
          <w:sz w:val="24"/>
          <w:szCs w:val="24"/>
          <w:lang w:val="en-US" w:eastAsia="sv-SE"/>
        </w:rPr>
        <w:t>In other situations, the primary interest might be directed at the productivity or the case load of the presentation year. In such cases, decisions made during previous years are not relevant. Calculating proportions will give misleading results when only decisions made during a specific year are taken into account, but the use of absolute numbers make sense. In figure 5 below, the trend shows a successive increase since 2016 in the numbers of suspects who have had been subject to a decision to initiate an investigation. This result indicates a steadily increasing work load for the authorities involved in criminal investigations</w:t>
      </w:r>
      <w:r w:rsidR="00FC5F70">
        <w:rPr>
          <w:rFonts w:ascii="Arial" w:hAnsi="Arial" w:cs="Arial"/>
          <w:sz w:val="24"/>
          <w:szCs w:val="24"/>
          <w:lang w:val="en-US" w:eastAsia="sv-SE"/>
        </w:rPr>
        <w:t xml:space="preserve"> (</w:t>
      </w:r>
      <w:proofErr w:type="spellStart"/>
      <w:r w:rsidR="00FC5F70">
        <w:rPr>
          <w:rFonts w:ascii="Arial" w:hAnsi="Arial" w:cs="Arial"/>
          <w:sz w:val="24"/>
          <w:szCs w:val="24"/>
          <w:lang w:val="en-US" w:eastAsia="sv-SE"/>
        </w:rPr>
        <w:t>Brottsförebyggande</w:t>
      </w:r>
      <w:proofErr w:type="spellEnd"/>
      <w:r w:rsidR="00FC5F70">
        <w:rPr>
          <w:rFonts w:ascii="Arial" w:hAnsi="Arial" w:cs="Arial"/>
          <w:sz w:val="24"/>
          <w:szCs w:val="24"/>
          <w:lang w:val="en-US" w:eastAsia="sv-SE"/>
        </w:rPr>
        <w:t xml:space="preserve"> </w:t>
      </w:r>
      <w:proofErr w:type="spellStart"/>
      <w:r w:rsidR="00FC5F70">
        <w:rPr>
          <w:rFonts w:ascii="Arial" w:hAnsi="Arial" w:cs="Arial"/>
          <w:sz w:val="24"/>
          <w:szCs w:val="24"/>
          <w:lang w:val="en-US" w:eastAsia="sv-SE"/>
        </w:rPr>
        <w:t>rådet</w:t>
      </w:r>
      <w:proofErr w:type="spellEnd"/>
      <w:r w:rsidR="00E25E65">
        <w:rPr>
          <w:rFonts w:ascii="Arial" w:hAnsi="Arial" w:cs="Arial"/>
          <w:sz w:val="24"/>
          <w:szCs w:val="24"/>
          <w:lang w:val="en-US" w:eastAsia="sv-SE"/>
        </w:rPr>
        <w:t>,</w:t>
      </w:r>
      <w:r w:rsidR="00FC5F70">
        <w:rPr>
          <w:rFonts w:ascii="Arial" w:hAnsi="Arial" w:cs="Arial"/>
          <w:sz w:val="24"/>
          <w:szCs w:val="24"/>
          <w:lang w:val="en-US" w:eastAsia="sv-SE"/>
        </w:rPr>
        <w:t xml:space="preserve"> 2019c)</w:t>
      </w:r>
      <w:r w:rsidRPr="0031262C">
        <w:rPr>
          <w:rFonts w:ascii="Arial" w:hAnsi="Arial" w:cs="Arial"/>
          <w:sz w:val="24"/>
          <w:szCs w:val="24"/>
          <w:lang w:val="en-US" w:eastAsia="sv-SE"/>
        </w:rPr>
        <w:t>.</w:t>
      </w:r>
    </w:p>
    <w:p w:rsidR="003D118F" w:rsidRPr="0031262C" w:rsidRDefault="003D118F" w:rsidP="004127D9">
      <w:pPr>
        <w:spacing w:before="120" w:after="0" w:line="360" w:lineRule="auto"/>
        <w:rPr>
          <w:rFonts w:ascii="Arial" w:hAnsi="Arial" w:cs="Arial"/>
          <w:sz w:val="24"/>
          <w:szCs w:val="24"/>
          <w:lang w:val="en-US" w:eastAsia="sv-SE"/>
        </w:rPr>
      </w:pPr>
    </w:p>
    <w:p w:rsidR="00B177E1" w:rsidRPr="00845EDF" w:rsidRDefault="00B177E1" w:rsidP="003D118F">
      <w:pPr>
        <w:pStyle w:val="Beskrivning"/>
        <w:keepNext/>
        <w:spacing w:line="360" w:lineRule="auto"/>
        <w:rPr>
          <w:rFonts w:ascii="Arial" w:hAnsi="Arial" w:cs="Arial"/>
          <w:b/>
          <w:i w:val="0"/>
          <w:color w:val="auto"/>
          <w:sz w:val="20"/>
          <w:szCs w:val="20"/>
          <w:lang w:val="en-US"/>
        </w:rPr>
      </w:pPr>
      <w:proofErr w:type="gramStart"/>
      <w:r w:rsidRPr="00845EDF">
        <w:rPr>
          <w:rFonts w:ascii="Arial" w:hAnsi="Arial" w:cs="Arial"/>
          <w:b/>
          <w:i w:val="0"/>
          <w:color w:val="auto"/>
          <w:sz w:val="20"/>
          <w:szCs w:val="20"/>
          <w:lang w:val="en-US"/>
        </w:rPr>
        <w:t xml:space="preserve">Figure </w:t>
      </w:r>
      <w:r w:rsidRPr="00845EDF">
        <w:rPr>
          <w:rFonts w:ascii="Arial" w:hAnsi="Arial" w:cs="Arial"/>
          <w:b/>
          <w:i w:val="0"/>
          <w:noProof/>
          <w:color w:val="auto"/>
          <w:sz w:val="20"/>
          <w:szCs w:val="20"/>
          <w:lang w:val="en-US"/>
        </w:rPr>
        <w:t>5</w:t>
      </w:r>
      <w:r w:rsidRPr="00845EDF">
        <w:rPr>
          <w:rFonts w:ascii="Arial" w:hAnsi="Arial" w:cs="Arial"/>
          <w:b/>
          <w:i w:val="0"/>
          <w:color w:val="auto"/>
          <w:sz w:val="20"/>
          <w:szCs w:val="20"/>
          <w:lang w:val="en-US"/>
        </w:rPr>
        <w:t>.</w:t>
      </w:r>
      <w:proofErr w:type="gramEnd"/>
      <w:r w:rsidRPr="00845EDF">
        <w:rPr>
          <w:rFonts w:ascii="Arial" w:hAnsi="Arial" w:cs="Arial"/>
          <w:b/>
          <w:i w:val="0"/>
          <w:color w:val="auto"/>
          <w:sz w:val="20"/>
          <w:szCs w:val="20"/>
          <w:lang w:val="en-US"/>
        </w:rPr>
        <w:t xml:space="preserve"> Number of crime suspects subject to a decision to initiate an investigation 2016, 2017 and 2018.</w:t>
      </w:r>
    </w:p>
    <w:p w:rsidR="00B177E1" w:rsidRDefault="00B177E1" w:rsidP="004127D9">
      <w:pPr>
        <w:spacing w:line="360" w:lineRule="auto"/>
        <w:jc w:val="center"/>
        <w:rPr>
          <w:rFonts w:ascii="Arial" w:hAnsi="Arial" w:cs="Arial"/>
          <w:lang w:val="en-US"/>
        </w:rPr>
      </w:pPr>
      <w:r w:rsidRPr="0031262C">
        <w:rPr>
          <w:rFonts w:ascii="Arial" w:hAnsi="Arial" w:cs="Arial"/>
          <w:noProof/>
          <w:lang w:val="sv-SE" w:eastAsia="sv-SE"/>
        </w:rPr>
        <w:drawing>
          <wp:inline distT="0" distB="0" distL="0" distR="0" wp14:anchorId="5B43C540" wp14:editId="51F31DA9">
            <wp:extent cx="5040000" cy="2160000"/>
            <wp:effectExtent l="0" t="0" r="8255"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5F70" w:rsidRPr="0031262C" w:rsidRDefault="00FC5F70" w:rsidP="004127D9">
      <w:pPr>
        <w:spacing w:line="360" w:lineRule="auto"/>
        <w:jc w:val="center"/>
        <w:rPr>
          <w:rFonts w:ascii="Arial" w:hAnsi="Arial" w:cs="Arial"/>
          <w:lang w:val="en-US"/>
        </w:rPr>
      </w:pPr>
    </w:p>
    <w:p w:rsidR="00B177E1" w:rsidRPr="0031262C" w:rsidRDefault="00B177E1" w:rsidP="004127D9">
      <w:pPr>
        <w:spacing w:line="360" w:lineRule="auto"/>
        <w:rPr>
          <w:rFonts w:ascii="Arial" w:hAnsi="Arial" w:cs="Arial"/>
          <w:noProof/>
        </w:rPr>
      </w:pPr>
      <w:r w:rsidRPr="0031262C">
        <w:rPr>
          <w:rFonts w:ascii="Arial" w:hAnsi="Arial" w:cs="Arial"/>
          <w:noProof/>
          <w:lang w:val="en-US"/>
        </w:rPr>
        <w:lastRenderedPageBreak/>
        <w:tab/>
      </w:r>
      <w:r w:rsidRPr="0031262C">
        <w:rPr>
          <w:rFonts w:ascii="Arial" w:hAnsi="Arial" w:cs="Arial"/>
          <w:noProof/>
          <w:lang w:val="sv-SE" w:eastAsia="sv-SE"/>
        </w:rPr>
        <mc:AlternateContent>
          <mc:Choice Requires="wps">
            <w:drawing>
              <wp:inline distT="0" distB="0" distL="0" distR="0" wp14:anchorId="76C5CE6F" wp14:editId="1D8D63B3">
                <wp:extent cx="3705308" cy="1144988"/>
                <wp:effectExtent l="19050" t="19050" r="28575" b="17145"/>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308" cy="1144988"/>
                        </a:xfrm>
                        <a:prstGeom prst="rect">
                          <a:avLst/>
                        </a:prstGeom>
                        <a:solidFill>
                          <a:sysClr val="window" lastClr="FFFFFF">
                            <a:lumMod val="95000"/>
                          </a:sysClr>
                        </a:solidFill>
                        <a:ln w="28575">
                          <a:solidFill>
                            <a:sysClr val="window" lastClr="FFFFFF">
                              <a:lumMod val="85000"/>
                            </a:sysClr>
                          </a:solidFill>
                          <a:miter lim="800000"/>
                          <a:headEnd/>
                          <a:tailEnd/>
                        </a:ln>
                      </wps:spPr>
                      <wps:txbx>
                        <w:txbxContent>
                          <w:p w:rsidR="00AA31AF" w:rsidRPr="001F6EA2" w:rsidRDefault="00AA31AF" w:rsidP="00B177E1">
                            <w:pPr>
                              <w:spacing w:line="360" w:lineRule="auto"/>
                              <w:rPr>
                                <w:b/>
                                <w:sz w:val="18"/>
                                <w:szCs w:val="14"/>
                                <w:lang w:val="en-US"/>
                              </w:rPr>
                            </w:pPr>
                            <w:r w:rsidRPr="001F6EA2">
                              <w:rPr>
                                <w:b/>
                                <w:sz w:val="18"/>
                                <w:szCs w:val="14"/>
                                <w:lang w:val="en-US"/>
                              </w:rPr>
                              <w:t>Result from 2018 and change from 2017 and 2016</w:t>
                            </w:r>
                          </w:p>
                          <w:tbl>
                            <w:tblPr>
                              <w:tblW w:w="6039" w:type="dxa"/>
                              <w:tblLook w:val="04A0" w:firstRow="1" w:lastRow="0" w:firstColumn="1" w:lastColumn="0" w:noHBand="0" w:noVBand="1"/>
                            </w:tblPr>
                            <w:tblGrid>
                              <w:gridCol w:w="1101"/>
                              <w:gridCol w:w="2693"/>
                              <w:gridCol w:w="2245"/>
                            </w:tblGrid>
                            <w:tr w:rsidR="00AA31AF" w:rsidTr="00B177E1">
                              <w:trPr>
                                <w:trHeight w:val="399"/>
                              </w:trPr>
                              <w:tc>
                                <w:tcPr>
                                  <w:tcW w:w="3794" w:type="dxa"/>
                                  <w:gridSpan w:val="2"/>
                                </w:tcPr>
                                <w:p w:rsidR="00AA31AF" w:rsidRDefault="00AA31AF" w:rsidP="00B177E1">
                                  <w:pPr>
                                    <w:pStyle w:val="Brdindrag"/>
                                    <w:ind w:left="601" w:hanging="601"/>
                                    <w:jc w:val="left"/>
                                    <w:rPr>
                                      <w:sz w:val="18"/>
                                      <w:szCs w:val="14"/>
                                    </w:rPr>
                                  </w:pPr>
                                  <w:r>
                                    <w:rPr>
                                      <w:i/>
                                      <w:sz w:val="18"/>
                                      <w:szCs w:val="14"/>
                                      <w:lang w:val="en-US"/>
                                    </w:rPr>
                                    <w:t>Investigation initiated in 2018</w:t>
                                  </w:r>
                                  <w:r w:rsidRPr="009360E6">
                                    <w:rPr>
                                      <w:i/>
                                      <w:sz w:val="18"/>
                                      <w:szCs w:val="14"/>
                                    </w:rPr>
                                    <w:t>:</w:t>
                                  </w:r>
                                </w:p>
                              </w:tc>
                              <w:tc>
                                <w:tcPr>
                                  <w:tcW w:w="2245" w:type="dxa"/>
                                </w:tcPr>
                                <w:p w:rsidR="00AA31AF" w:rsidRDefault="00AA31AF" w:rsidP="00B177E1">
                                  <w:pPr>
                                    <w:pStyle w:val="Brdindrag"/>
                                    <w:ind w:left="601" w:hanging="601"/>
                                    <w:jc w:val="left"/>
                                    <w:rPr>
                                      <w:sz w:val="18"/>
                                      <w:szCs w:val="14"/>
                                    </w:rPr>
                                  </w:pPr>
                                  <w:r>
                                    <w:rPr>
                                      <w:sz w:val="18"/>
                                      <w:szCs w:val="14"/>
                                    </w:rPr>
                                    <w:t>541 000</w:t>
                                  </w:r>
                                </w:p>
                                <w:p w:rsidR="00AA31AF" w:rsidRPr="00E408A0" w:rsidRDefault="00AA31AF" w:rsidP="00B177E1">
                                  <w:pPr>
                                    <w:pStyle w:val="Brdindrag"/>
                                    <w:ind w:left="601" w:hanging="601"/>
                                    <w:jc w:val="left"/>
                                    <w:rPr>
                                      <w:sz w:val="18"/>
                                      <w:szCs w:val="14"/>
                                    </w:rPr>
                                  </w:pPr>
                                </w:p>
                              </w:tc>
                            </w:tr>
                            <w:tr w:rsidR="00AA31AF" w:rsidTr="00B177E1">
                              <w:trPr>
                                <w:trHeight w:val="391"/>
                              </w:trPr>
                              <w:tc>
                                <w:tcPr>
                                  <w:tcW w:w="1101" w:type="dxa"/>
                                </w:tcPr>
                                <w:p w:rsidR="00AA31AF" w:rsidRDefault="00AA31AF" w:rsidP="00B177E1">
                                  <w:pPr>
                                    <w:pStyle w:val="Brdindrag"/>
                                    <w:ind w:firstLine="0"/>
                                    <w:jc w:val="left"/>
                                    <w:rPr>
                                      <w:i/>
                                      <w:sz w:val="18"/>
                                      <w:szCs w:val="14"/>
                                    </w:rPr>
                                  </w:pPr>
                                </w:p>
                              </w:tc>
                              <w:tc>
                                <w:tcPr>
                                  <w:tcW w:w="2693" w:type="dxa"/>
                                </w:tcPr>
                                <w:p w:rsidR="00AA31AF" w:rsidRPr="009B52BB" w:rsidRDefault="00AA31AF" w:rsidP="00B177E1">
                                  <w:pPr>
                                    <w:pStyle w:val="Brdindrag"/>
                                    <w:ind w:left="601" w:hanging="601"/>
                                    <w:jc w:val="left"/>
                                    <w:rPr>
                                      <w:i/>
                                      <w:sz w:val="18"/>
                                      <w:szCs w:val="14"/>
                                    </w:rPr>
                                  </w:pPr>
                                  <w:r>
                                    <w:rPr>
                                      <w:i/>
                                      <w:sz w:val="18"/>
                                      <w:szCs w:val="14"/>
                                    </w:rPr>
                                    <w:t>Change from</w:t>
                                  </w:r>
                                  <w:r w:rsidRPr="009B52BB">
                                    <w:rPr>
                                      <w:i/>
                                      <w:sz w:val="18"/>
                                      <w:szCs w:val="14"/>
                                    </w:rPr>
                                    <w:t xml:space="preserve"> 2017</w:t>
                                  </w:r>
                                </w:p>
                              </w:tc>
                              <w:tc>
                                <w:tcPr>
                                  <w:tcW w:w="2245" w:type="dxa"/>
                                </w:tcPr>
                                <w:p w:rsidR="00AA31AF" w:rsidRDefault="00AA31AF" w:rsidP="00B177E1">
                                  <w:pPr>
                                    <w:pStyle w:val="Brdindrag"/>
                                    <w:ind w:left="601" w:hanging="601"/>
                                    <w:jc w:val="left"/>
                                    <w:rPr>
                                      <w:sz w:val="18"/>
                                      <w:szCs w:val="14"/>
                                    </w:rPr>
                                  </w:pPr>
                                  <w:r>
                                    <w:rPr>
                                      <w:sz w:val="18"/>
                                      <w:szCs w:val="14"/>
                                    </w:rPr>
                                    <w:t>+20</w:t>
                                  </w:r>
                                  <w:r w:rsidRPr="005A4683">
                                    <w:rPr>
                                      <w:sz w:val="18"/>
                                      <w:szCs w:val="14"/>
                                    </w:rPr>
                                    <w:t> </w:t>
                                  </w:r>
                                  <w:r>
                                    <w:rPr>
                                      <w:sz w:val="18"/>
                                      <w:szCs w:val="14"/>
                                    </w:rPr>
                                    <w:t>300 (+4 %)</w:t>
                                  </w:r>
                                </w:p>
                              </w:tc>
                            </w:tr>
                            <w:tr w:rsidR="00AA31AF" w:rsidTr="00B177E1">
                              <w:trPr>
                                <w:trHeight w:val="680"/>
                              </w:trPr>
                              <w:tc>
                                <w:tcPr>
                                  <w:tcW w:w="1101" w:type="dxa"/>
                                </w:tcPr>
                                <w:p w:rsidR="00AA31AF" w:rsidRDefault="00AA31AF" w:rsidP="00B177E1">
                                  <w:pPr>
                                    <w:pStyle w:val="Brdindrag"/>
                                    <w:ind w:firstLine="0"/>
                                    <w:jc w:val="left"/>
                                    <w:rPr>
                                      <w:i/>
                                      <w:sz w:val="18"/>
                                      <w:szCs w:val="14"/>
                                    </w:rPr>
                                  </w:pPr>
                                </w:p>
                              </w:tc>
                              <w:tc>
                                <w:tcPr>
                                  <w:tcW w:w="2693" w:type="dxa"/>
                                </w:tcPr>
                                <w:p w:rsidR="00AA31AF" w:rsidRPr="009B52BB" w:rsidRDefault="00AA31AF" w:rsidP="00B177E1">
                                  <w:pPr>
                                    <w:pStyle w:val="Brdindrag"/>
                                    <w:ind w:left="601" w:hanging="601"/>
                                    <w:jc w:val="left"/>
                                    <w:rPr>
                                      <w:i/>
                                      <w:sz w:val="18"/>
                                      <w:szCs w:val="14"/>
                                    </w:rPr>
                                  </w:pPr>
                                  <w:r>
                                    <w:rPr>
                                      <w:i/>
                                      <w:sz w:val="18"/>
                                      <w:szCs w:val="14"/>
                                    </w:rPr>
                                    <w:t>Change from 2016</w:t>
                                  </w:r>
                                </w:p>
                              </w:tc>
                              <w:tc>
                                <w:tcPr>
                                  <w:tcW w:w="2245" w:type="dxa"/>
                                </w:tcPr>
                                <w:p w:rsidR="00AA31AF" w:rsidRDefault="00AA31AF" w:rsidP="00B177E1">
                                  <w:pPr>
                                    <w:pStyle w:val="Brdindrag"/>
                                    <w:ind w:left="601" w:hanging="601"/>
                                    <w:jc w:val="left"/>
                                    <w:rPr>
                                      <w:sz w:val="18"/>
                                      <w:szCs w:val="14"/>
                                    </w:rPr>
                                  </w:pPr>
                                  <w:r>
                                    <w:rPr>
                                      <w:sz w:val="18"/>
                                      <w:szCs w:val="14"/>
                                    </w:rPr>
                                    <w:t>+28</w:t>
                                  </w:r>
                                  <w:r w:rsidRPr="005A4683">
                                    <w:rPr>
                                      <w:sz w:val="18"/>
                                      <w:szCs w:val="14"/>
                                    </w:rPr>
                                    <w:t> </w:t>
                                  </w:r>
                                  <w:r>
                                    <w:rPr>
                                      <w:sz w:val="18"/>
                                      <w:szCs w:val="14"/>
                                    </w:rPr>
                                    <w:t>400 (+6 %)</w:t>
                                  </w:r>
                                </w:p>
                              </w:tc>
                            </w:tr>
                            <w:tr w:rsidR="00AA31AF" w:rsidTr="00B177E1">
                              <w:trPr>
                                <w:trHeight w:val="340"/>
                              </w:trPr>
                              <w:tc>
                                <w:tcPr>
                                  <w:tcW w:w="1101" w:type="dxa"/>
                                </w:tcPr>
                                <w:p w:rsidR="00AA31AF" w:rsidRPr="003B0A1B" w:rsidRDefault="00AA31AF" w:rsidP="00B177E1">
                                  <w:pPr>
                                    <w:pStyle w:val="Brdindrag"/>
                                    <w:ind w:firstLine="0"/>
                                    <w:jc w:val="left"/>
                                    <w:rPr>
                                      <w:sz w:val="18"/>
                                      <w:szCs w:val="14"/>
                                    </w:rPr>
                                  </w:pPr>
                                </w:p>
                              </w:tc>
                              <w:tc>
                                <w:tcPr>
                                  <w:tcW w:w="2693" w:type="dxa"/>
                                </w:tcPr>
                                <w:p w:rsidR="00AA31AF" w:rsidRDefault="00AA31AF" w:rsidP="00B177E1">
                                  <w:pPr>
                                    <w:pStyle w:val="Brdindrag"/>
                                    <w:ind w:left="601" w:hanging="601"/>
                                    <w:jc w:val="left"/>
                                    <w:rPr>
                                      <w:sz w:val="18"/>
                                      <w:szCs w:val="14"/>
                                    </w:rPr>
                                  </w:pPr>
                                </w:p>
                              </w:tc>
                              <w:tc>
                                <w:tcPr>
                                  <w:tcW w:w="2245" w:type="dxa"/>
                                </w:tcPr>
                                <w:p w:rsidR="00AA31AF" w:rsidRDefault="00AA31AF" w:rsidP="00B177E1">
                                  <w:pPr>
                                    <w:pStyle w:val="Brdindrag"/>
                                    <w:ind w:left="601" w:hanging="601"/>
                                    <w:jc w:val="left"/>
                                    <w:rPr>
                                      <w:sz w:val="18"/>
                                      <w:szCs w:val="14"/>
                                    </w:rPr>
                                  </w:pPr>
                                </w:p>
                              </w:tc>
                            </w:tr>
                            <w:tr w:rsidR="00AA31AF" w:rsidTr="00B177E1">
                              <w:trPr>
                                <w:trHeight w:val="567"/>
                              </w:trPr>
                              <w:tc>
                                <w:tcPr>
                                  <w:tcW w:w="1101" w:type="dxa"/>
                                </w:tcPr>
                                <w:p w:rsidR="00AA31AF" w:rsidRPr="00E408A0" w:rsidRDefault="00AA31AF" w:rsidP="00B177E1">
                                  <w:pPr>
                                    <w:pStyle w:val="Brdindrag"/>
                                    <w:ind w:firstLine="0"/>
                                    <w:jc w:val="left"/>
                                    <w:rPr>
                                      <w:sz w:val="18"/>
                                      <w:szCs w:val="14"/>
                                    </w:rPr>
                                  </w:pPr>
                                </w:p>
                              </w:tc>
                              <w:tc>
                                <w:tcPr>
                                  <w:tcW w:w="2693" w:type="dxa"/>
                                </w:tcPr>
                                <w:p w:rsidR="00AA31AF" w:rsidRPr="00E408A0" w:rsidRDefault="00AA31AF" w:rsidP="00B177E1">
                                  <w:pPr>
                                    <w:pStyle w:val="Brdindrag"/>
                                    <w:ind w:left="601" w:hanging="601"/>
                                    <w:jc w:val="left"/>
                                    <w:rPr>
                                      <w:sz w:val="18"/>
                                      <w:szCs w:val="14"/>
                                    </w:rPr>
                                  </w:pPr>
                                </w:p>
                              </w:tc>
                              <w:tc>
                                <w:tcPr>
                                  <w:tcW w:w="2245" w:type="dxa"/>
                                </w:tcPr>
                                <w:p w:rsidR="00AA31AF" w:rsidRPr="00E408A0" w:rsidRDefault="00AA31AF" w:rsidP="00B177E1">
                                  <w:pPr>
                                    <w:pStyle w:val="Brdindrag"/>
                                    <w:ind w:left="601" w:hanging="601"/>
                                    <w:jc w:val="left"/>
                                    <w:rPr>
                                      <w:sz w:val="18"/>
                                      <w:szCs w:val="14"/>
                                    </w:rPr>
                                  </w:pPr>
                                </w:p>
                              </w:tc>
                            </w:tr>
                            <w:tr w:rsidR="00AA31AF" w:rsidTr="00B177E1">
                              <w:trPr>
                                <w:trHeight w:val="567"/>
                              </w:trPr>
                              <w:tc>
                                <w:tcPr>
                                  <w:tcW w:w="1101" w:type="dxa"/>
                                </w:tcPr>
                                <w:p w:rsidR="00AA31AF" w:rsidRPr="00E408A0" w:rsidRDefault="00AA31AF" w:rsidP="00B177E1">
                                  <w:pPr>
                                    <w:pStyle w:val="Brdindrag"/>
                                    <w:ind w:firstLine="0"/>
                                    <w:jc w:val="left"/>
                                    <w:rPr>
                                      <w:sz w:val="18"/>
                                      <w:szCs w:val="14"/>
                                    </w:rPr>
                                  </w:pPr>
                                </w:p>
                              </w:tc>
                              <w:tc>
                                <w:tcPr>
                                  <w:tcW w:w="2693" w:type="dxa"/>
                                </w:tcPr>
                                <w:p w:rsidR="00AA31AF" w:rsidRPr="00E408A0" w:rsidRDefault="00AA31AF" w:rsidP="00B177E1">
                                  <w:pPr>
                                    <w:pStyle w:val="Brdindrag"/>
                                    <w:ind w:left="601" w:hanging="601"/>
                                    <w:jc w:val="left"/>
                                    <w:rPr>
                                      <w:sz w:val="18"/>
                                      <w:szCs w:val="14"/>
                                    </w:rPr>
                                  </w:pPr>
                                </w:p>
                              </w:tc>
                              <w:tc>
                                <w:tcPr>
                                  <w:tcW w:w="2245" w:type="dxa"/>
                                </w:tcPr>
                                <w:p w:rsidR="00AA31AF" w:rsidRPr="00E408A0" w:rsidRDefault="00AA31AF" w:rsidP="00B177E1">
                                  <w:pPr>
                                    <w:pStyle w:val="Brdindrag"/>
                                    <w:ind w:left="601" w:hanging="601"/>
                                    <w:jc w:val="left"/>
                                    <w:rPr>
                                      <w:sz w:val="18"/>
                                      <w:szCs w:val="14"/>
                                    </w:rPr>
                                  </w:pPr>
                                </w:p>
                              </w:tc>
                            </w:tr>
                          </w:tbl>
                          <w:p w:rsidR="00AA31AF" w:rsidRPr="009360E6" w:rsidRDefault="00AA31AF" w:rsidP="00B177E1">
                            <w:pPr>
                              <w:pStyle w:val="Brdindrag"/>
                              <w:ind w:firstLine="0"/>
                              <w:rPr>
                                <w:sz w:val="18"/>
                                <w:szCs w:val="14"/>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ruta 2" o:spid="_x0000_s1027" type="#_x0000_t202" style="width:291.7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" fillcolor="#f2f2f2" strokecolor="#d9d9d9" strokeweight="2.25pt">
                <v:textbox>
                  <w:txbxContent>
                    <w:p w:rsidR="00AA31AF" w:rsidRPr="001F6EA2" w:rsidRDefault="00AA31AF" w:rsidP="00B177E1">
                      <w:pPr>
                        <w:spacing w:line="360" w:lineRule="auto"/>
                        <w:rPr>
                          <w:b/>
                          <w:sz w:val="18"/>
                          <w:szCs w:val="14"/>
                          <w:lang w:val="en-US"/>
                        </w:rPr>
                      </w:pPr>
                      <w:r w:rsidRPr="001F6EA2">
                        <w:rPr>
                          <w:b/>
                          <w:sz w:val="18"/>
                          <w:szCs w:val="14"/>
                          <w:lang w:val="en-US"/>
                        </w:rPr>
                        <w:t>Result from 2018 and change from 2017 and 2016</w:t>
                      </w:r>
                    </w:p>
                    <w:tbl>
                      <w:tblPr>
                        <w:tblW w:w="6039" w:type="dxa"/>
                        <w:tblLook w:val="04A0" w:firstRow="1" w:lastRow="0" w:firstColumn="1" w:lastColumn="0" w:noHBand="0" w:noVBand="1"/>
                      </w:tblPr>
                      <w:tblGrid>
                        <w:gridCol w:w="1101"/>
                        <w:gridCol w:w="2693"/>
                        <w:gridCol w:w="2245"/>
                      </w:tblGrid>
                      <w:tr w:rsidR="00AA31AF" w:rsidTr="00B177E1">
                        <w:trPr>
                          <w:trHeight w:val="399"/>
                        </w:trPr>
                        <w:tc>
                          <w:tcPr>
                            <w:tcW w:w="3794" w:type="dxa"/>
                            <w:gridSpan w:val="2"/>
                          </w:tcPr>
                          <w:p w:rsidR="00AA31AF" w:rsidRDefault="00AA31AF" w:rsidP="00B177E1">
                            <w:pPr>
                              <w:pStyle w:val="Brdindrag"/>
                              <w:ind w:left="601" w:hanging="601"/>
                              <w:jc w:val="left"/>
                              <w:rPr>
                                <w:sz w:val="18"/>
                                <w:szCs w:val="14"/>
                              </w:rPr>
                            </w:pPr>
                            <w:r>
                              <w:rPr>
                                <w:i/>
                                <w:sz w:val="18"/>
                                <w:szCs w:val="14"/>
                                <w:lang w:val="en-US"/>
                              </w:rPr>
                              <w:t>Investigation initiated in 2018</w:t>
                            </w:r>
                            <w:r w:rsidRPr="009360E6">
                              <w:rPr>
                                <w:i/>
                                <w:sz w:val="18"/>
                                <w:szCs w:val="14"/>
                              </w:rPr>
                              <w:t>:</w:t>
                            </w:r>
                          </w:p>
                        </w:tc>
                        <w:tc>
                          <w:tcPr>
                            <w:tcW w:w="2245" w:type="dxa"/>
                          </w:tcPr>
                          <w:p w:rsidR="00AA31AF" w:rsidRDefault="00AA31AF" w:rsidP="00B177E1">
                            <w:pPr>
                              <w:pStyle w:val="Brdindrag"/>
                              <w:ind w:left="601" w:hanging="601"/>
                              <w:jc w:val="left"/>
                              <w:rPr>
                                <w:sz w:val="18"/>
                                <w:szCs w:val="14"/>
                              </w:rPr>
                            </w:pPr>
                            <w:r>
                              <w:rPr>
                                <w:sz w:val="18"/>
                                <w:szCs w:val="14"/>
                              </w:rPr>
                              <w:t>541 000</w:t>
                            </w:r>
                          </w:p>
                          <w:p w:rsidR="00AA31AF" w:rsidRPr="00E408A0" w:rsidRDefault="00AA31AF" w:rsidP="00B177E1">
                            <w:pPr>
                              <w:pStyle w:val="Brdindrag"/>
                              <w:ind w:left="601" w:hanging="601"/>
                              <w:jc w:val="left"/>
                              <w:rPr>
                                <w:sz w:val="18"/>
                                <w:szCs w:val="14"/>
                              </w:rPr>
                            </w:pPr>
                          </w:p>
                        </w:tc>
                      </w:tr>
                      <w:tr w:rsidR="00AA31AF" w:rsidTr="00B177E1">
                        <w:trPr>
                          <w:trHeight w:val="391"/>
                        </w:trPr>
                        <w:tc>
                          <w:tcPr>
                            <w:tcW w:w="1101" w:type="dxa"/>
                          </w:tcPr>
                          <w:p w:rsidR="00AA31AF" w:rsidRDefault="00AA31AF" w:rsidP="00B177E1">
                            <w:pPr>
                              <w:pStyle w:val="Brdindrag"/>
                              <w:ind w:firstLine="0"/>
                              <w:jc w:val="left"/>
                              <w:rPr>
                                <w:i/>
                                <w:sz w:val="18"/>
                                <w:szCs w:val="14"/>
                              </w:rPr>
                            </w:pPr>
                          </w:p>
                        </w:tc>
                        <w:tc>
                          <w:tcPr>
                            <w:tcW w:w="2693" w:type="dxa"/>
                          </w:tcPr>
                          <w:p w:rsidR="00AA31AF" w:rsidRPr="009B52BB" w:rsidRDefault="00AA31AF" w:rsidP="00B177E1">
                            <w:pPr>
                              <w:pStyle w:val="Brdindrag"/>
                              <w:ind w:left="601" w:hanging="601"/>
                              <w:jc w:val="left"/>
                              <w:rPr>
                                <w:i/>
                                <w:sz w:val="18"/>
                                <w:szCs w:val="14"/>
                              </w:rPr>
                            </w:pPr>
                            <w:r>
                              <w:rPr>
                                <w:i/>
                                <w:sz w:val="18"/>
                                <w:szCs w:val="14"/>
                              </w:rPr>
                              <w:t>Change from</w:t>
                            </w:r>
                            <w:r w:rsidRPr="009B52BB">
                              <w:rPr>
                                <w:i/>
                                <w:sz w:val="18"/>
                                <w:szCs w:val="14"/>
                              </w:rPr>
                              <w:t xml:space="preserve"> 2017</w:t>
                            </w:r>
                          </w:p>
                        </w:tc>
                        <w:tc>
                          <w:tcPr>
                            <w:tcW w:w="2245" w:type="dxa"/>
                          </w:tcPr>
                          <w:p w:rsidR="00AA31AF" w:rsidRDefault="00AA31AF" w:rsidP="00B177E1">
                            <w:pPr>
                              <w:pStyle w:val="Brdindrag"/>
                              <w:ind w:left="601" w:hanging="601"/>
                              <w:jc w:val="left"/>
                              <w:rPr>
                                <w:sz w:val="18"/>
                                <w:szCs w:val="14"/>
                              </w:rPr>
                            </w:pPr>
                            <w:r>
                              <w:rPr>
                                <w:sz w:val="18"/>
                                <w:szCs w:val="14"/>
                              </w:rPr>
                              <w:t>+20</w:t>
                            </w:r>
                            <w:r w:rsidRPr="005A4683">
                              <w:rPr>
                                <w:sz w:val="18"/>
                                <w:szCs w:val="14"/>
                              </w:rPr>
                              <w:t> </w:t>
                            </w:r>
                            <w:r>
                              <w:rPr>
                                <w:sz w:val="18"/>
                                <w:szCs w:val="14"/>
                              </w:rPr>
                              <w:t>300 (+4 %)</w:t>
                            </w:r>
                          </w:p>
                        </w:tc>
                      </w:tr>
                      <w:tr w:rsidR="00AA31AF" w:rsidTr="00B177E1">
                        <w:trPr>
                          <w:trHeight w:val="680"/>
                        </w:trPr>
                        <w:tc>
                          <w:tcPr>
                            <w:tcW w:w="1101" w:type="dxa"/>
                          </w:tcPr>
                          <w:p w:rsidR="00AA31AF" w:rsidRDefault="00AA31AF" w:rsidP="00B177E1">
                            <w:pPr>
                              <w:pStyle w:val="Brdindrag"/>
                              <w:ind w:firstLine="0"/>
                              <w:jc w:val="left"/>
                              <w:rPr>
                                <w:i/>
                                <w:sz w:val="18"/>
                                <w:szCs w:val="14"/>
                              </w:rPr>
                            </w:pPr>
                          </w:p>
                        </w:tc>
                        <w:tc>
                          <w:tcPr>
                            <w:tcW w:w="2693" w:type="dxa"/>
                          </w:tcPr>
                          <w:p w:rsidR="00AA31AF" w:rsidRPr="009B52BB" w:rsidRDefault="00AA31AF" w:rsidP="00B177E1">
                            <w:pPr>
                              <w:pStyle w:val="Brdindrag"/>
                              <w:ind w:left="601" w:hanging="601"/>
                              <w:jc w:val="left"/>
                              <w:rPr>
                                <w:i/>
                                <w:sz w:val="18"/>
                                <w:szCs w:val="14"/>
                              </w:rPr>
                            </w:pPr>
                            <w:r>
                              <w:rPr>
                                <w:i/>
                                <w:sz w:val="18"/>
                                <w:szCs w:val="14"/>
                              </w:rPr>
                              <w:t>Change from 2016</w:t>
                            </w:r>
                          </w:p>
                        </w:tc>
                        <w:tc>
                          <w:tcPr>
                            <w:tcW w:w="2245" w:type="dxa"/>
                          </w:tcPr>
                          <w:p w:rsidR="00AA31AF" w:rsidRDefault="00AA31AF" w:rsidP="00B177E1">
                            <w:pPr>
                              <w:pStyle w:val="Brdindrag"/>
                              <w:ind w:left="601" w:hanging="601"/>
                              <w:jc w:val="left"/>
                              <w:rPr>
                                <w:sz w:val="18"/>
                                <w:szCs w:val="14"/>
                              </w:rPr>
                            </w:pPr>
                            <w:r>
                              <w:rPr>
                                <w:sz w:val="18"/>
                                <w:szCs w:val="14"/>
                              </w:rPr>
                              <w:t>+28</w:t>
                            </w:r>
                            <w:r w:rsidRPr="005A4683">
                              <w:rPr>
                                <w:sz w:val="18"/>
                                <w:szCs w:val="14"/>
                              </w:rPr>
                              <w:t> </w:t>
                            </w:r>
                            <w:r>
                              <w:rPr>
                                <w:sz w:val="18"/>
                                <w:szCs w:val="14"/>
                              </w:rPr>
                              <w:t>400 (+6 %)</w:t>
                            </w:r>
                          </w:p>
                        </w:tc>
                      </w:tr>
                      <w:tr w:rsidR="00AA31AF" w:rsidTr="00B177E1">
                        <w:trPr>
                          <w:trHeight w:val="340"/>
                        </w:trPr>
                        <w:tc>
                          <w:tcPr>
                            <w:tcW w:w="1101" w:type="dxa"/>
                          </w:tcPr>
                          <w:p w:rsidR="00AA31AF" w:rsidRPr="003B0A1B" w:rsidRDefault="00AA31AF" w:rsidP="00B177E1">
                            <w:pPr>
                              <w:pStyle w:val="Brdindrag"/>
                              <w:ind w:firstLine="0"/>
                              <w:jc w:val="left"/>
                              <w:rPr>
                                <w:sz w:val="18"/>
                                <w:szCs w:val="14"/>
                              </w:rPr>
                            </w:pPr>
                          </w:p>
                        </w:tc>
                        <w:tc>
                          <w:tcPr>
                            <w:tcW w:w="2693" w:type="dxa"/>
                          </w:tcPr>
                          <w:p w:rsidR="00AA31AF" w:rsidRDefault="00AA31AF" w:rsidP="00B177E1">
                            <w:pPr>
                              <w:pStyle w:val="Brdindrag"/>
                              <w:ind w:left="601" w:hanging="601"/>
                              <w:jc w:val="left"/>
                              <w:rPr>
                                <w:sz w:val="18"/>
                                <w:szCs w:val="14"/>
                              </w:rPr>
                            </w:pPr>
                          </w:p>
                        </w:tc>
                        <w:tc>
                          <w:tcPr>
                            <w:tcW w:w="2245" w:type="dxa"/>
                          </w:tcPr>
                          <w:p w:rsidR="00AA31AF" w:rsidRDefault="00AA31AF" w:rsidP="00B177E1">
                            <w:pPr>
                              <w:pStyle w:val="Brdindrag"/>
                              <w:ind w:left="601" w:hanging="601"/>
                              <w:jc w:val="left"/>
                              <w:rPr>
                                <w:sz w:val="18"/>
                                <w:szCs w:val="14"/>
                              </w:rPr>
                            </w:pPr>
                          </w:p>
                        </w:tc>
                      </w:tr>
                      <w:tr w:rsidR="00AA31AF" w:rsidTr="00B177E1">
                        <w:trPr>
                          <w:trHeight w:val="567"/>
                        </w:trPr>
                        <w:tc>
                          <w:tcPr>
                            <w:tcW w:w="1101" w:type="dxa"/>
                          </w:tcPr>
                          <w:p w:rsidR="00AA31AF" w:rsidRPr="00E408A0" w:rsidRDefault="00AA31AF" w:rsidP="00B177E1">
                            <w:pPr>
                              <w:pStyle w:val="Brdindrag"/>
                              <w:ind w:firstLine="0"/>
                              <w:jc w:val="left"/>
                              <w:rPr>
                                <w:sz w:val="18"/>
                                <w:szCs w:val="14"/>
                              </w:rPr>
                            </w:pPr>
                          </w:p>
                        </w:tc>
                        <w:tc>
                          <w:tcPr>
                            <w:tcW w:w="2693" w:type="dxa"/>
                          </w:tcPr>
                          <w:p w:rsidR="00AA31AF" w:rsidRPr="00E408A0" w:rsidRDefault="00AA31AF" w:rsidP="00B177E1">
                            <w:pPr>
                              <w:pStyle w:val="Brdindrag"/>
                              <w:ind w:left="601" w:hanging="601"/>
                              <w:jc w:val="left"/>
                              <w:rPr>
                                <w:sz w:val="18"/>
                                <w:szCs w:val="14"/>
                              </w:rPr>
                            </w:pPr>
                          </w:p>
                        </w:tc>
                        <w:tc>
                          <w:tcPr>
                            <w:tcW w:w="2245" w:type="dxa"/>
                          </w:tcPr>
                          <w:p w:rsidR="00AA31AF" w:rsidRPr="00E408A0" w:rsidRDefault="00AA31AF" w:rsidP="00B177E1">
                            <w:pPr>
                              <w:pStyle w:val="Brdindrag"/>
                              <w:ind w:left="601" w:hanging="601"/>
                              <w:jc w:val="left"/>
                              <w:rPr>
                                <w:sz w:val="18"/>
                                <w:szCs w:val="14"/>
                              </w:rPr>
                            </w:pPr>
                          </w:p>
                        </w:tc>
                      </w:tr>
                      <w:tr w:rsidR="00AA31AF" w:rsidTr="00B177E1">
                        <w:trPr>
                          <w:trHeight w:val="567"/>
                        </w:trPr>
                        <w:tc>
                          <w:tcPr>
                            <w:tcW w:w="1101" w:type="dxa"/>
                          </w:tcPr>
                          <w:p w:rsidR="00AA31AF" w:rsidRPr="00E408A0" w:rsidRDefault="00AA31AF" w:rsidP="00B177E1">
                            <w:pPr>
                              <w:pStyle w:val="Brdindrag"/>
                              <w:ind w:firstLine="0"/>
                              <w:jc w:val="left"/>
                              <w:rPr>
                                <w:sz w:val="18"/>
                                <w:szCs w:val="14"/>
                              </w:rPr>
                            </w:pPr>
                          </w:p>
                        </w:tc>
                        <w:tc>
                          <w:tcPr>
                            <w:tcW w:w="2693" w:type="dxa"/>
                          </w:tcPr>
                          <w:p w:rsidR="00AA31AF" w:rsidRPr="00E408A0" w:rsidRDefault="00AA31AF" w:rsidP="00B177E1">
                            <w:pPr>
                              <w:pStyle w:val="Brdindrag"/>
                              <w:ind w:left="601" w:hanging="601"/>
                              <w:jc w:val="left"/>
                              <w:rPr>
                                <w:sz w:val="18"/>
                                <w:szCs w:val="14"/>
                              </w:rPr>
                            </w:pPr>
                          </w:p>
                        </w:tc>
                        <w:tc>
                          <w:tcPr>
                            <w:tcW w:w="2245" w:type="dxa"/>
                          </w:tcPr>
                          <w:p w:rsidR="00AA31AF" w:rsidRPr="00E408A0" w:rsidRDefault="00AA31AF" w:rsidP="00B177E1">
                            <w:pPr>
                              <w:pStyle w:val="Brdindrag"/>
                              <w:ind w:left="601" w:hanging="601"/>
                              <w:jc w:val="left"/>
                              <w:rPr>
                                <w:sz w:val="18"/>
                                <w:szCs w:val="14"/>
                              </w:rPr>
                            </w:pPr>
                          </w:p>
                        </w:tc>
                      </w:tr>
                    </w:tbl>
                    <w:p w:rsidR="00AA31AF" w:rsidRPr="009360E6" w:rsidRDefault="00AA31AF" w:rsidP="00B177E1">
                      <w:pPr>
                        <w:pStyle w:val="Brdindrag"/>
                        <w:ind w:firstLine="0"/>
                        <w:rPr>
                          <w:sz w:val="18"/>
                          <w:szCs w:val="14"/>
                        </w:rPr>
                      </w:pPr>
                    </w:p>
                  </w:txbxContent>
                </v:textbox>
                <w10:anchorlock/>
              </v:shape>
            </w:pict>
          </mc:Fallback>
        </mc:AlternateContent>
      </w:r>
    </w:p>
    <w:p w:rsidR="00FC5F70" w:rsidRPr="002B1447" w:rsidRDefault="00FC5F70" w:rsidP="00FC5F70">
      <w:pPr>
        <w:spacing w:before="120" w:after="0" w:line="360" w:lineRule="auto"/>
        <w:jc w:val="both"/>
        <w:rPr>
          <w:rFonts w:ascii="Arial" w:hAnsi="Arial" w:cs="Arial"/>
          <w:sz w:val="24"/>
          <w:szCs w:val="24"/>
          <w:lang w:val="en-US"/>
        </w:rPr>
      </w:pPr>
      <w:r>
        <w:rPr>
          <w:rFonts w:ascii="Arial" w:hAnsi="Arial" w:cs="Arial"/>
          <w:sz w:val="24"/>
          <w:szCs w:val="24"/>
          <w:lang w:val="en-US"/>
        </w:rPr>
        <w:t xml:space="preserve">Source: </w:t>
      </w:r>
      <w:proofErr w:type="spellStart"/>
      <w:r>
        <w:rPr>
          <w:rFonts w:ascii="Arial" w:hAnsi="Arial" w:cs="Arial"/>
          <w:sz w:val="24"/>
          <w:szCs w:val="24"/>
          <w:lang w:val="en-US"/>
        </w:rPr>
        <w:t>Brottsförebyggande</w:t>
      </w:r>
      <w:proofErr w:type="spellEnd"/>
      <w:r>
        <w:rPr>
          <w:rFonts w:ascii="Arial" w:hAnsi="Arial" w:cs="Arial"/>
          <w:sz w:val="24"/>
          <w:szCs w:val="24"/>
          <w:lang w:val="en-US"/>
        </w:rPr>
        <w:t xml:space="preserve"> </w:t>
      </w:r>
      <w:proofErr w:type="spellStart"/>
      <w:r>
        <w:rPr>
          <w:rFonts w:ascii="Arial" w:hAnsi="Arial" w:cs="Arial"/>
          <w:sz w:val="24"/>
          <w:szCs w:val="24"/>
          <w:lang w:val="en-US"/>
        </w:rPr>
        <w:t>rådet</w:t>
      </w:r>
      <w:proofErr w:type="spellEnd"/>
      <w:r>
        <w:rPr>
          <w:rFonts w:ascii="Arial" w:hAnsi="Arial" w:cs="Arial"/>
          <w:sz w:val="24"/>
          <w:szCs w:val="24"/>
          <w:lang w:val="en-US"/>
        </w:rPr>
        <w:t xml:space="preserve"> 2019c</w:t>
      </w:r>
    </w:p>
    <w:p w:rsidR="00B177E1" w:rsidRPr="001B3041" w:rsidRDefault="00B177E1" w:rsidP="00FC5F70">
      <w:pPr>
        <w:pStyle w:val="Brdindrag"/>
        <w:spacing w:before="120" w:line="360" w:lineRule="auto"/>
        <w:ind w:firstLine="0"/>
        <w:rPr>
          <w:rFonts w:ascii="Arial" w:hAnsi="Arial" w:cs="Arial"/>
          <w:noProof/>
          <w:lang w:val="en-US"/>
        </w:rPr>
      </w:pPr>
    </w:p>
    <w:p w:rsidR="003D118F" w:rsidRDefault="00B177E1" w:rsidP="00FC5F70">
      <w:pPr>
        <w:spacing w:before="120" w:after="0" w:line="360" w:lineRule="auto"/>
        <w:jc w:val="both"/>
        <w:rPr>
          <w:rFonts w:ascii="Arial" w:hAnsi="Arial" w:cs="Arial"/>
          <w:sz w:val="24"/>
          <w:szCs w:val="24"/>
          <w:lang w:val="en-US"/>
        </w:rPr>
      </w:pPr>
      <w:r w:rsidRPr="0031262C">
        <w:rPr>
          <w:rFonts w:ascii="Arial" w:hAnsi="Arial" w:cs="Arial"/>
          <w:noProof/>
          <w:sz w:val="24"/>
          <w:szCs w:val="24"/>
          <w:lang w:val="en-US"/>
        </w:rPr>
        <w:t xml:space="preserve">Most decisions made in relation to a crime suspect result in the suspect being given a new status. For instance, when a decision is made to complete an investigation, the status of the suspect changes from </w:t>
      </w:r>
      <w:r w:rsidRPr="0031262C">
        <w:rPr>
          <w:rFonts w:ascii="Arial" w:hAnsi="Arial" w:cs="Arial"/>
          <w:i/>
          <w:noProof/>
          <w:sz w:val="24"/>
          <w:szCs w:val="24"/>
          <w:lang w:val="en-US"/>
        </w:rPr>
        <w:t>under investigation</w:t>
      </w:r>
      <w:r w:rsidRPr="0031262C">
        <w:rPr>
          <w:rFonts w:ascii="Arial" w:hAnsi="Arial" w:cs="Arial"/>
          <w:noProof/>
          <w:sz w:val="24"/>
          <w:szCs w:val="24"/>
          <w:lang w:val="en-US"/>
        </w:rPr>
        <w:t xml:space="preserve"> to </w:t>
      </w:r>
      <w:r w:rsidRPr="0031262C">
        <w:rPr>
          <w:rFonts w:ascii="Arial" w:hAnsi="Arial" w:cs="Arial"/>
          <w:i/>
          <w:noProof/>
          <w:sz w:val="24"/>
          <w:szCs w:val="24"/>
          <w:lang w:val="en-US"/>
        </w:rPr>
        <w:t>investigation completed</w:t>
      </w:r>
      <w:r w:rsidRPr="0031262C">
        <w:rPr>
          <w:rFonts w:ascii="Arial" w:hAnsi="Arial" w:cs="Arial"/>
          <w:noProof/>
          <w:sz w:val="24"/>
          <w:szCs w:val="24"/>
          <w:lang w:val="en-US"/>
        </w:rPr>
        <w:t xml:space="preserve">. To obtain a snapshot of how far the bulk of suspects have come in the process at the end of the year, the statistics present the distribution of statuses on December 31th among the suspects handled by the authorities during the year. As figure 6 below shows, the majority of the suspects were in one of the three statuses: </w:t>
      </w:r>
      <w:r w:rsidRPr="0031262C">
        <w:rPr>
          <w:rFonts w:ascii="Arial" w:hAnsi="Arial" w:cs="Arial"/>
          <w:i/>
          <w:noProof/>
          <w:sz w:val="24"/>
          <w:szCs w:val="24"/>
          <w:lang w:val="en-US"/>
        </w:rPr>
        <w:t>under investigation</w:t>
      </w:r>
      <w:r w:rsidRPr="0031262C">
        <w:rPr>
          <w:rFonts w:ascii="Arial" w:hAnsi="Arial" w:cs="Arial"/>
          <w:noProof/>
          <w:sz w:val="24"/>
          <w:szCs w:val="24"/>
          <w:lang w:val="en-US"/>
        </w:rPr>
        <w:t xml:space="preserve">, </w:t>
      </w:r>
      <w:r w:rsidRPr="0031262C">
        <w:rPr>
          <w:rFonts w:ascii="Arial" w:hAnsi="Arial" w:cs="Arial"/>
          <w:i/>
          <w:noProof/>
          <w:sz w:val="24"/>
          <w:szCs w:val="24"/>
          <w:lang w:val="en-US"/>
        </w:rPr>
        <w:t>investigation discontinued</w:t>
      </w:r>
      <w:r w:rsidRPr="0031262C">
        <w:rPr>
          <w:rFonts w:ascii="Arial" w:hAnsi="Arial" w:cs="Arial"/>
          <w:noProof/>
          <w:sz w:val="24"/>
          <w:szCs w:val="24"/>
          <w:lang w:val="en-US"/>
        </w:rPr>
        <w:t xml:space="preserve"> or </w:t>
      </w:r>
      <w:r w:rsidRPr="0031262C">
        <w:rPr>
          <w:rFonts w:ascii="Arial" w:hAnsi="Arial" w:cs="Arial"/>
          <w:i/>
          <w:noProof/>
          <w:sz w:val="24"/>
          <w:szCs w:val="24"/>
          <w:lang w:val="en-US"/>
        </w:rPr>
        <w:t>legal proceedings</w:t>
      </w:r>
      <w:r w:rsidRPr="0031262C">
        <w:rPr>
          <w:rFonts w:ascii="Arial" w:hAnsi="Arial" w:cs="Arial"/>
          <w:noProof/>
          <w:sz w:val="24"/>
          <w:szCs w:val="24"/>
          <w:lang w:val="en-US"/>
        </w:rPr>
        <w:t xml:space="preserve">. Suspects who at the end of the year are in any of the statuses: </w:t>
      </w:r>
      <w:r w:rsidRPr="0031262C">
        <w:rPr>
          <w:rFonts w:ascii="Arial" w:hAnsi="Arial" w:cs="Arial"/>
          <w:i/>
          <w:sz w:val="24"/>
          <w:szCs w:val="24"/>
          <w:lang w:val="en-US"/>
        </w:rPr>
        <w:t>investigation not yet initiated</w:t>
      </w:r>
      <w:r w:rsidRPr="0031262C">
        <w:rPr>
          <w:rFonts w:ascii="Arial" w:hAnsi="Arial" w:cs="Arial"/>
          <w:sz w:val="24"/>
          <w:szCs w:val="24"/>
          <w:lang w:val="en-US"/>
        </w:rPr>
        <w:t xml:space="preserve">, </w:t>
      </w:r>
      <w:r w:rsidRPr="0031262C">
        <w:rPr>
          <w:rFonts w:ascii="Arial" w:hAnsi="Arial" w:cs="Arial"/>
          <w:i/>
          <w:sz w:val="24"/>
          <w:szCs w:val="24"/>
          <w:lang w:val="en-US"/>
        </w:rPr>
        <w:t>under investigation</w:t>
      </w:r>
      <w:r w:rsidRPr="0031262C">
        <w:rPr>
          <w:rFonts w:ascii="Arial" w:hAnsi="Arial" w:cs="Arial"/>
          <w:sz w:val="24"/>
          <w:szCs w:val="24"/>
          <w:lang w:val="en-US"/>
        </w:rPr>
        <w:t xml:space="preserve"> or </w:t>
      </w:r>
      <w:r w:rsidRPr="0031262C">
        <w:rPr>
          <w:rFonts w:ascii="Arial" w:hAnsi="Arial" w:cs="Arial"/>
          <w:i/>
          <w:sz w:val="24"/>
          <w:szCs w:val="24"/>
          <w:lang w:val="en-US"/>
        </w:rPr>
        <w:t>investigation completed</w:t>
      </w:r>
      <w:r w:rsidRPr="0031262C">
        <w:rPr>
          <w:rFonts w:ascii="Arial" w:hAnsi="Arial" w:cs="Arial"/>
          <w:sz w:val="24"/>
          <w:szCs w:val="24"/>
          <w:lang w:val="en-US"/>
        </w:rPr>
        <w:t>, constitute the year’s final balance</w:t>
      </w:r>
      <w:r w:rsidR="00FC5F70">
        <w:rPr>
          <w:rFonts w:ascii="Arial" w:hAnsi="Arial" w:cs="Arial"/>
          <w:sz w:val="24"/>
          <w:szCs w:val="24"/>
          <w:lang w:val="en-US"/>
        </w:rPr>
        <w:t xml:space="preserve"> (</w:t>
      </w:r>
      <w:proofErr w:type="spellStart"/>
      <w:r w:rsidR="00FC5F70">
        <w:rPr>
          <w:rFonts w:ascii="Arial" w:hAnsi="Arial" w:cs="Arial"/>
          <w:sz w:val="24"/>
          <w:szCs w:val="24"/>
          <w:lang w:val="en-US"/>
        </w:rPr>
        <w:t>Brottsförebyggande</w:t>
      </w:r>
      <w:proofErr w:type="spellEnd"/>
      <w:r w:rsidR="00FC5F70">
        <w:rPr>
          <w:rFonts w:ascii="Arial" w:hAnsi="Arial" w:cs="Arial"/>
          <w:sz w:val="24"/>
          <w:szCs w:val="24"/>
          <w:lang w:val="en-US"/>
        </w:rPr>
        <w:t xml:space="preserve"> </w:t>
      </w:r>
      <w:proofErr w:type="spellStart"/>
      <w:r w:rsidR="00FC5F70">
        <w:rPr>
          <w:rFonts w:ascii="Arial" w:hAnsi="Arial" w:cs="Arial"/>
          <w:sz w:val="24"/>
          <w:szCs w:val="24"/>
          <w:lang w:val="en-US"/>
        </w:rPr>
        <w:t>rådet</w:t>
      </w:r>
      <w:proofErr w:type="spellEnd"/>
      <w:r w:rsidR="00E25E65">
        <w:rPr>
          <w:rFonts w:ascii="Arial" w:hAnsi="Arial" w:cs="Arial"/>
          <w:sz w:val="24"/>
          <w:szCs w:val="24"/>
          <w:lang w:val="en-US"/>
        </w:rPr>
        <w:t>,</w:t>
      </w:r>
      <w:r w:rsidR="00FC5F70">
        <w:rPr>
          <w:rFonts w:ascii="Arial" w:hAnsi="Arial" w:cs="Arial"/>
          <w:sz w:val="24"/>
          <w:szCs w:val="24"/>
          <w:lang w:val="en-US"/>
        </w:rPr>
        <w:t xml:space="preserve"> 2019c)</w:t>
      </w:r>
      <w:r w:rsidRPr="0031262C">
        <w:rPr>
          <w:rFonts w:ascii="Arial" w:hAnsi="Arial" w:cs="Arial"/>
          <w:sz w:val="24"/>
          <w:szCs w:val="24"/>
          <w:lang w:val="en-US"/>
        </w:rPr>
        <w:t xml:space="preserve">. </w:t>
      </w:r>
    </w:p>
    <w:p w:rsidR="00FC5F70" w:rsidRPr="0031262C" w:rsidRDefault="00FC5F70" w:rsidP="00FC5F70">
      <w:pPr>
        <w:spacing w:before="120" w:after="0" w:line="360" w:lineRule="auto"/>
        <w:jc w:val="both"/>
        <w:rPr>
          <w:rFonts w:ascii="Arial" w:hAnsi="Arial" w:cs="Arial"/>
          <w:sz w:val="24"/>
          <w:szCs w:val="24"/>
          <w:lang w:val="en-US"/>
        </w:rPr>
      </w:pPr>
    </w:p>
    <w:p w:rsidR="00B177E1" w:rsidRPr="00845EDF" w:rsidRDefault="00B177E1" w:rsidP="003D118F">
      <w:pPr>
        <w:pStyle w:val="Beskrivning"/>
        <w:keepNext/>
        <w:spacing w:line="360" w:lineRule="auto"/>
        <w:rPr>
          <w:rFonts w:ascii="Arial" w:hAnsi="Arial" w:cs="Arial"/>
          <w:b/>
          <w:i w:val="0"/>
          <w:color w:val="auto"/>
          <w:sz w:val="20"/>
          <w:szCs w:val="20"/>
          <w:lang w:val="en-US"/>
        </w:rPr>
      </w:pPr>
      <w:proofErr w:type="gramStart"/>
      <w:r w:rsidRPr="00845EDF">
        <w:rPr>
          <w:rFonts w:ascii="Arial" w:hAnsi="Arial" w:cs="Arial"/>
          <w:b/>
          <w:i w:val="0"/>
          <w:color w:val="auto"/>
          <w:sz w:val="20"/>
          <w:szCs w:val="20"/>
          <w:lang w:val="en-US"/>
        </w:rPr>
        <w:t>Figure 6.</w:t>
      </w:r>
      <w:proofErr w:type="gramEnd"/>
      <w:r w:rsidRPr="00845EDF">
        <w:rPr>
          <w:rFonts w:ascii="Arial" w:hAnsi="Arial" w:cs="Arial"/>
          <w:b/>
          <w:i w:val="0"/>
          <w:color w:val="auto"/>
          <w:sz w:val="20"/>
          <w:szCs w:val="20"/>
          <w:lang w:val="en-US"/>
        </w:rPr>
        <w:t xml:space="preserve"> Distribution of crime suspects in 2018 by status on December 31st.</w:t>
      </w:r>
    </w:p>
    <w:p w:rsidR="00B177E1" w:rsidRPr="0031262C" w:rsidRDefault="00B177E1" w:rsidP="004127D9">
      <w:pPr>
        <w:pStyle w:val="Brdindrag"/>
        <w:spacing w:line="360" w:lineRule="auto"/>
        <w:jc w:val="left"/>
        <w:rPr>
          <w:rFonts w:ascii="Arial" w:hAnsi="Arial" w:cs="Arial"/>
        </w:rPr>
      </w:pPr>
      <w:r w:rsidRPr="0031262C">
        <w:rPr>
          <w:rFonts w:ascii="Arial" w:hAnsi="Arial" w:cs="Arial"/>
        </w:rPr>
        <w:object w:dxaOrig="4771" w:dyaOrig="2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9pt;height:235pt" o:ole="">
            <v:imagedata r:id="rId15" o:title=""/>
          </v:shape>
          <o:OLEObject Type="Embed" ProgID="PowerPoint.Show.12" ShapeID="_x0000_i1025" DrawAspect="Content" ObjectID="_1623050954" r:id="rId16"/>
        </w:object>
      </w:r>
    </w:p>
    <w:p w:rsidR="00FC5F70" w:rsidRPr="002B1447" w:rsidRDefault="00FC5F70" w:rsidP="00FC5F70">
      <w:pPr>
        <w:spacing w:line="360" w:lineRule="auto"/>
        <w:jc w:val="both"/>
        <w:rPr>
          <w:rFonts w:ascii="Arial" w:hAnsi="Arial" w:cs="Arial"/>
          <w:sz w:val="24"/>
          <w:szCs w:val="24"/>
          <w:lang w:val="en-US"/>
        </w:rPr>
      </w:pPr>
      <w:r>
        <w:rPr>
          <w:rFonts w:ascii="Arial" w:hAnsi="Arial" w:cs="Arial"/>
          <w:sz w:val="24"/>
          <w:szCs w:val="24"/>
          <w:lang w:val="en-US"/>
        </w:rPr>
        <w:t xml:space="preserve">Source: </w:t>
      </w:r>
      <w:proofErr w:type="spellStart"/>
      <w:r>
        <w:rPr>
          <w:rFonts w:ascii="Arial" w:hAnsi="Arial" w:cs="Arial"/>
          <w:sz w:val="24"/>
          <w:szCs w:val="24"/>
          <w:lang w:val="en-US"/>
        </w:rPr>
        <w:t>Brottsförebyggande</w:t>
      </w:r>
      <w:proofErr w:type="spellEnd"/>
      <w:r>
        <w:rPr>
          <w:rFonts w:ascii="Arial" w:hAnsi="Arial" w:cs="Arial"/>
          <w:sz w:val="24"/>
          <w:szCs w:val="24"/>
          <w:lang w:val="en-US"/>
        </w:rPr>
        <w:t xml:space="preserve"> </w:t>
      </w:r>
      <w:proofErr w:type="spellStart"/>
      <w:r>
        <w:rPr>
          <w:rFonts w:ascii="Arial" w:hAnsi="Arial" w:cs="Arial"/>
          <w:sz w:val="24"/>
          <w:szCs w:val="24"/>
          <w:lang w:val="en-US"/>
        </w:rPr>
        <w:t>rådet</w:t>
      </w:r>
      <w:proofErr w:type="spellEnd"/>
      <w:r>
        <w:rPr>
          <w:rFonts w:ascii="Arial" w:hAnsi="Arial" w:cs="Arial"/>
          <w:sz w:val="24"/>
          <w:szCs w:val="24"/>
          <w:lang w:val="en-US"/>
        </w:rPr>
        <w:t xml:space="preserve"> 2019c</w:t>
      </w:r>
    </w:p>
    <w:p w:rsidR="00B177E1" w:rsidRDefault="00B177E1" w:rsidP="00FC5F70">
      <w:pPr>
        <w:pStyle w:val="Brdindrag"/>
        <w:spacing w:line="360" w:lineRule="auto"/>
        <w:ind w:firstLine="0"/>
        <w:jc w:val="left"/>
        <w:rPr>
          <w:rFonts w:ascii="Arial" w:hAnsi="Arial" w:cs="Arial"/>
        </w:rPr>
      </w:pPr>
    </w:p>
    <w:p w:rsidR="00FC5F70" w:rsidRPr="0031262C" w:rsidRDefault="00FC5F70" w:rsidP="004127D9">
      <w:pPr>
        <w:pStyle w:val="Brdindrag"/>
        <w:spacing w:line="360" w:lineRule="auto"/>
        <w:jc w:val="left"/>
        <w:rPr>
          <w:rFonts w:ascii="Arial" w:hAnsi="Arial" w:cs="Arial"/>
        </w:rPr>
      </w:pPr>
    </w:p>
    <w:p w:rsidR="00B177E1" w:rsidRPr="0031262C" w:rsidRDefault="00B177E1" w:rsidP="004127D9">
      <w:pPr>
        <w:pStyle w:val="Brdindrag"/>
        <w:spacing w:line="360" w:lineRule="auto"/>
        <w:jc w:val="left"/>
        <w:rPr>
          <w:rFonts w:ascii="Arial" w:hAnsi="Arial" w:cs="Arial"/>
        </w:rPr>
      </w:pPr>
    </w:p>
    <w:p w:rsidR="00B177E1"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In the following year, the investigative and prosecuting authorities have to handle not only all the new incoming crime suspects in that year, but also those who were in the balance at the end of 2018. Therefore, the size of the balance is an important factor that affects the total work load for a given year. Figure 7 below shows that the size of the balance has increased over recent years, which may have an impact on the capacity to deal with all new suspects that need to </w:t>
      </w:r>
      <w:proofErr w:type="gramStart"/>
      <w:r w:rsidRPr="0031262C">
        <w:rPr>
          <w:rFonts w:ascii="Arial" w:hAnsi="Arial" w:cs="Arial"/>
          <w:sz w:val="24"/>
          <w:szCs w:val="24"/>
          <w:lang w:val="en-US"/>
        </w:rPr>
        <w:t>be</w:t>
      </w:r>
      <w:proofErr w:type="gramEnd"/>
      <w:r w:rsidRPr="0031262C">
        <w:rPr>
          <w:rFonts w:ascii="Arial" w:hAnsi="Arial" w:cs="Arial"/>
          <w:sz w:val="24"/>
          <w:szCs w:val="24"/>
          <w:lang w:val="en-US"/>
        </w:rPr>
        <w:t xml:space="preserve"> investigated</w:t>
      </w:r>
      <w:r w:rsidR="00A66D96">
        <w:rPr>
          <w:rFonts w:ascii="Arial" w:hAnsi="Arial" w:cs="Arial"/>
          <w:sz w:val="24"/>
          <w:szCs w:val="24"/>
          <w:lang w:val="en-US"/>
        </w:rPr>
        <w:t xml:space="preserve"> (</w:t>
      </w:r>
      <w:proofErr w:type="spellStart"/>
      <w:r w:rsidR="00A66D96">
        <w:rPr>
          <w:rFonts w:ascii="Arial" w:hAnsi="Arial" w:cs="Arial"/>
          <w:sz w:val="24"/>
          <w:szCs w:val="24"/>
          <w:lang w:val="en-US"/>
        </w:rPr>
        <w:t>Brottsförebyggande</w:t>
      </w:r>
      <w:proofErr w:type="spellEnd"/>
      <w:r w:rsidR="00A66D96">
        <w:rPr>
          <w:rFonts w:ascii="Arial" w:hAnsi="Arial" w:cs="Arial"/>
          <w:sz w:val="24"/>
          <w:szCs w:val="24"/>
          <w:lang w:val="en-US"/>
        </w:rPr>
        <w:t xml:space="preserve"> </w:t>
      </w:r>
      <w:proofErr w:type="spellStart"/>
      <w:r w:rsidR="00A66D96">
        <w:rPr>
          <w:rFonts w:ascii="Arial" w:hAnsi="Arial" w:cs="Arial"/>
          <w:sz w:val="24"/>
          <w:szCs w:val="24"/>
          <w:lang w:val="en-US"/>
        </w:rPr>
        <w:t>rådet</w:t>
      </w:r>
      <w:proofErr w:type="spellEnd"/>
      <w:r w:rsidR="00E25E65">
        <w:rPr>
          <w:rFonts w:ascii="Arial" w:hAnsi="Arial" w:cs="Arial"/>
          <w:sz w:val="24"/>
          <w:szCs w:val="24"/>
          <w:lang w:val="en-US"/>
        </w:rPr>
        <w:t>,</w:t>
      </w:r>
      <w:r w:rsidR="00A66D96">
        <w:rPr>
          <w:rFonts w:ascii="Arial" w:hAnsi="Arial" w:cs="Arial"/>
          <w:sz w:val="24"/>
          <w:szCs w:val="24"/>
          <w:lang w:val="en-US"/>
        </w:rPr>
        <w:t xml:space="preserve"> 2019c)</w:t>
      </w:r>
      <w:r w:rsidRPr="0031262C">
        <w:rPr>
          <w:rFonts w:ascii="Arial" w:hAnsi="Arial" w:cs="Arial"/>
          <w:sz w:val="24"/>
          <w:szCs w:val="24"/>
          <w:lang w:val="en-US"/>
        </w:rPr>
        <w:t>.</w:t>
      </w:r>
    </w:p>
    <w:p w:rsidR="003D118F" w:rsidRPr="0031262C" w:rsidRDefault="003D118F" w:rsidP="004127D9">
      <w:pPr>
        <w:spacing w:before="120" w:after="0" w:line="360" w:lineRule="auto"/>
        <w:rPr>
          <w:rFonts w:ascii="Arial" w:hAnsi="Arial" w:cs="Arial"/>
          <w:sz w:val="24"/>
          <w:szCs w:val="24"/>
          <w:lang w:val="en-US"/>
        </w:rPr>
      </w:pPr>
    </w:p>
    <w:p w:rsidR="00B177E1" w:rsidRPr="00845EDF" w:rsidRDefault="00B177E1" w:rsidP="003D118F">
      <w:pPr>
        <w:pStyle w:val="Beskrivning"/>
        <w:keepNext/>
        <w:spacing w:line="360" w:lineRule="auto"/>
        <w:rPr>
          <w:rFonts w:ascii="Arial" w:hAnsi="Arial" w:cs="Arial"/>
          <w:b/>
          <w:i w:val="0"/>
          <w:color w:val="auto"/>
          <w:sz w:val="20"/>
          <w:szCs w:val="20"/>
          <w:lang w:val="en-US"/>
        </w:rPr>
      </w:pPr>
      <w:proofErr w:type="gramStart"/>
      <w:r w:rsidRPr="00845EDF">
        <w:rPr>
          <w:rFonts w:ascii="Arial" w:hAnsi="Arial" w:cs="Arial"/>
          <w:b/>
          <w:i w:val="0"/>
          <w:color w:val="auto"/>
          <w:sz w:val="20"/>
          <w:szCs w:val="20"/>
          <w:lang w:val="en-US"/>
        </w:rPr>
        <w:t>Figure 7.</w:t>
      </w:r>
      <w:proofErr w:type="gramEnd"/>
      <w:r w:rsidRPr="00845EDF">
        <w:rPr>
          <w:rFonts w:ascii="Arial" w:hAnsi="Arial" w:cs="Arial"/>
          <w:b/>
          <w:i w:val="0"/>
          <w:color w:val="auto"/>
          <w:sz w:val="20"/>
          <w:szCs w:val="20"/>
          <w:lang w:val="en-US"/>
        </w:rPr>
        <w:t xml:space="preserve"> Number of crime suspects in final balance in 2016, 2017 and 2018.</w:t>
      </w:r>
    </w:p>
    <w:p w:rsidR="00B177E1" w:rsidRPr="0031262C" w:rsidRDefault="00B177E1" w:rsidP="004127D9">
      <w:pPr>
        <w:pStyle w:val="Brdindrag"/>
        <w:spacing w:line="360" w:lineRule="auto"/>
        <w:ind w:firstLine="0"/>
        <w:jc w:val="left"/>
        <w:rPr>
          <w:rFonts w:ascii="Arial" w:hAnsi="Arial" w:cs="Arial"/>
          <w:lang w:val="en-US"/>
        </w:rPr>
      </w:pPr>
      <w:r w:rsidRPr="0031262C">
        <w:rPr>
          <w:rFonts w:ascii="Arial" w:hAnsi="Arial" w:cs="Arial"/>
          <w:noProof/>
        </w:rPr>
        <w:drawing>
          <wp:inline distT="0" distB="0" distL="0" distR="0" wp14:anchorId="543688BE" wp14:editId="4B28BC23">
            <wp:extent cx="4860000" cy="1800000"/>
            <wp:effectExtent l="0" t="0" r="0" b="0"/>
            <wp:docPr id="310" name="Diagram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77E1" w:rsidRPr="0031262C" w:rsidRDefault="00B177E1" w:rsidP="004127D9">
      <w:pPr>
        <w:pStyle w:val="Brdindrag"/>
        <w:spacing w:after="240" w:line="360" w:lineRule="auto"/>
        <w:ind w:left="993" w:firstLine="0"/>
        <w:jc w:val="left"/>
        <w:rPr>
          <w:rFonts w:ascii="Arial" w:hAnsi="Arial" w:cs="Arial"/>
        </w:rPr>
      </w:pPr>
      <w:r w:rsidRPr="0031262C">
        <w:rPr>
          <w:rFonts w:ascii="Arial" w:hAnsi="Arial" w:cs="Arial"/>
          <w:noProof/>
        </w:rPr>
        <mc:AlternateContent>
          <mc:Choice Requires="wps">
            <w:drawing>
              <wp:inline distT="0" distB="0" distL="0" distR="0" wp14:anchorId="74C65FC1" wp14:editId="79547588">
                <wp:extent cx="3705308" cy="1144988"/>
                <wp:effectExtent l="19050" t="19050" r="28575" b="17145"/>
                <wp:docPr id="3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308" cy="1144988"/>
                        </a:xfrm>
                        <a:prstGeom prst="rect">
                          <a:avLst/>
                        </a:prstGeom>
                        <a:solidFill>
                          <a:sysClr val="window" lastClr="FFFFFF">
                            <a:lumMod val="95000"/>
                          </a:sysClr>
                        </a:solidFill>
                        <a:ln w="28575">
                          <a:solidFill>
                            <a:sysClr val="window" lastClr="FFFFFF">
                              <a:lumMod val="85000"/>
                            </a:sysClr>
                          </a:solidFill>
                          <a:miter lim="800000"/>
                          <a:headEnd/>
                          <a:tailEnd/>
                        </a:ln>
                      </wps:spPr>
                      <wps:txbx>
                        <w:txbxContent>
                          <w:p w:rsidR="00AA31AF" w:rsidRPr="00081C03" w:rsidRDefault="00AA31AF" w:rsidP="00B177E1">
                            <w:pPr>
                              <w:spacing w:line="360" w:lineRule="auto"/>
                              <w:rPr>
                                <w:b/>
                                <w:sz w:val="18"/>
                                <w:szCs w:val="14"/>
                                <w:lang w:val="en-US"/>
                              </w:rPr>
                            </w:pPr>
                            <w:r w:rsidRPr="001F6EA2">
                              <w:rPr>
                                <w:b/>
                                <w:sz w:val="18"/>
                                <w:szCs w:val="14"/>
                                <w:lang w:val="en-US"/>
                              </w:rPr>
                              <w:t>Result from 2018 and change from 2017 and 2016</w:t>
                            </w:r>
                          </w:p>
                          <w:tbl>
                            <w:tblPr>
                              <w:tblW w:w="6039" w:type="dxa"/>
                              <w:tblLook w:val="04A0" w:firstRow="1" w:lastRow="0" w:firstColumn="1" w:lastColumn="0" w:noHBand="0" w:noVBand="1"/>
                            </w:tblPr>
                            <w:tblGrid>
                              <w:gridCol w:w="1101"/>
                              <w:gridCol w:w="2693"/>
                              <w:gridCol w:w="2245"/>
                            </w:tblGrid>
                            <w:tr w:rsidR="00AA31AF" w:rsidTr="00B177E1">
                              <w:trPr>
                                <w:trHeight w:val="399"/>
                              </w:trPr>
                              <w:tc>
                                <w:tcPr>
                                  <w:tcW w:w="3794" w:type="dxa"/>
                                  <w:gridSpan w:val="2"/>
                                </w:tcPr>
                                <w:p w:rsidR="00AA31AF" w:rsidRDefault="00AA31AF" w:rsidP="00B177E1">
                                  <w:pPr>
                                    <w:pStyle w:val="Brdindrag"/>
                                    <w:ind w:left="601" w:hanging="601"/>
                                    <w:jc w:val="left"/>
                                    <w:rPr>
                                      <w:sz w:val="18"/>
                                      <w:szCs w:val="14"/>
                                    </w:rPr>
                                  </w:pPr>
                                  <w:r>
                                    <w:rPr>
                                      <w:i/>
                                      <w:sz w:val="18"/>
                                      <w:szCs w:val="14"/>
                                    </w:rPr>
                                    <w:t xml:space="preserve">Final </w:t>
                                  </w:r>
                                  <w:proofErr w:type="spellStart"/>
                                  <w:r>
                                    <w:rPr>
                                      <w:i/>
                                      <w:sz w:val="18"/>
                                      <w:szCs w:val="14"/>
                                    </w:rPr>
                                    <w:t>balance</w:t>
                                  </w:r>
                                  <w:proofErr w:type="spellEnd"/>
                                  <w:r>
                                    <w:rPr>
                                      <w:i/>
                                      <w:sz w:val="18"/>
                                      <w:szCs w:val="14"/>
                                    </w:rPr>
                                    <w:t xml:space="preserve"> in 2018</w:t>
                                  </w:r>
                                  <w:r w:rsidRPr="009360E6">
                                    <w:rPr>
                                      <w:i/>
                                      <w:sz w:val="18"/>
                                      <w:szCs w:val="14"/>
                                    </w:rPr>
                                    <w:t>:</w:t>
                                  </w:r>
                                </w:p>
                              </w:tc>
                              <w:tc>
                                <w:tcPr>
                                  <w:tcW w:w="2245" w:type="dxa"/>
                                </w:tcPr>
                                <w:p w:rsidR="00AA31AF" w:rsidRDefault="00AA31AF" w:rsidP="00B177E1">
                                  <w:pPr>
                                    <w:pStyle w:val="Brdindrag"/>
                                    <w:ind w:left="601" w:hanging="601"/>
                                    <w:jc w:val="left"/>
                                    <w:rPr>
                                      <w:sz w:val="18"/>
                                      <w:szCs w:val="14"/>
                                    </w:rPr>
                                  </w:pPr>
                                  <w:r>
                                    <w:rPr>
                                      <w:sz w:val="18"/>
                                      <w:szCs w:val="14"/>
                                    </w:rPr>
                                    <w:t>227 000</w:t>
                                  </w:r>
                                </w:p>
                                <w:p w:rsidR="00AA31AF" w:rsidRPr="00E408A0" w:rsidRDefault="00AA31AF" w:rsidP="00B177E1">
                                  <w:pPr>
                                    <w:pStyle w:val="Brdindrag"/>
                                    <w:ind w:left="601" w:hanging="601"/>
                                    <w:jc w:val="left"/>
                                    <w:rPr>
                                      <w:sz w:val="18"/>
                                      <w:szCs w:val="14"/>
                                    </w:rPr>
                                  </w:pPr>
                                </w:p>
                              </w:tc>
                            </w:tr>
                            <w:tr w:rsidR="00AA31AF" w:rsidTr="00B177E1">
                              <w:trPr>
                                <w:trHeight w:val="391"/>
                              </w:trPr>
                              <w:tc>
                                <w:tcPr>
                                  <w:tcW w:w="1101" w:type="dxa"/>
                                </w:tcPr>
                                <w:p w:rsidR="00AA31AF" w:rsidRDefault="00AA31AF" w:rsidP="00B177E1">
                                  <w:pPr>
                                    <w:pStyle w:val="Brdindrag"/>
                                    <w:ind w:firstLine="0"/>
                                    <w:jc w:val="left"/>
                                    <w:rPr>
                                      <w:i/>
                                      <w:sz w:val="18"/>
                                      <w:szCs w:val="14"/>
                                    </w:rPr>
                                  </w:pPr>
                                </w:p>
                              </w:tc>
                              <w:tc>
                                <w:tcPr>
                                  <w:tcW w:w="2693" w:type="dxa"/>
                                </w:tcPr>
                                <w:p w:rsidR="00AA31AF" w:rsidRPr="009B52BB" w:rsidRDefault="00AA31AF" w:rsidP="00B177E1">
                                  <w:pPr>
                                    <w:pStyle w:val="Brdindrag"/>
                                    <w:ind w:left="601" w:hanging="601"/>
                                    <w:jc w:val="left"/>
                                    <w:rPr>
                                      <w:i/>
                                      <w:sz w:val="18"/>
                                      <w:szCs w:val="14"/>
                                    </w:rPr>
                                  </w:pPr>
                                  <w:r>
                                    <w:rPr>
                                      <w:i/>
                                      <w:sz w:val="18"/>
                                      <w:szCs w:val="14"/>
                                    </w:rPr>
                                    <w:t>Change from</w:t>
                                  </w:r>
                                  <w:r w:rsidRPr="009B52BB">
                                    <w:rPr>
                                      <w:i/>
                                      <w:sz w:val="18"/>
                                      <w:szCs w:val="14"/>
                                    </w:rPr>
                                    <w:t xml:space="preserve"> 2017</w:t>
                                  </w:r>
                                </w:p>
                              </w:tc>
                              <w:tc>
                                <w:tcPr>
                                  <w:tcW w:w="2245" w:type="dxa"/>
                                </w:tcPr>
                                <w:p w:rsidR="00AA31AF" w:rsidRDefault="00AA31AF" w:rsidP="00B177E1">
                                  <w:pPr>
                                    <w:pStyle w:val="Brdindrag"/>
                                    <w:ind w:left="601" w:hanging="601"/>
                                    <w:jc w:val="left"/>
                                    <w:rPr>
                                      <w:sz w:val="18"/>
                                      <w:szCs w:val="14"/>
                                    </w:rPr>
                                  </w:pPr>
                                  <w:r>
                                    <w:rPr>
                                      <w:sz w:val="18"/>
                                      <w:szCs w:val="14"/>
                                    </w:rPr>
                                    <w:t>+9</w:t>
                                  </w:r>
                                  <w:r w:rsidRPr="005A4683">
                                    <w:rPr>
                                      <w:sz w:val="18"/>
                                      <w:szCs w:val="14"/>
                                    </w:rPr>
                                    <w:t> </w:t>
                                  </w:r>
                                  <w:r>
                                    <w:rPr>
                                      <w:sz w:val="18"/>
                                      <w:szCs w:val="14"/>
                                    </w:rPr>
                                    <w:t>120 (+4 %)</w:t>
                                  </w:r>
                                </w:p>
                              </w:tc>
                            </w:tr>
                            <w:tr w:rsidR="00AA31AF" w:rsidTr="00B177E1">
                              <w:trPr>
                                <w:trHeight w:val="680"/>
                              </w:trPr>
                              <w:tc>
                                <w:tcPr>
                                  <w:tcW w:w="1101" w:type="dxa"/>
                                </w:tcPr>
                                <w:p w:rsidR="00AA31AF" w:rsidRDefault="00AA31AF" w:rsidP="00B177E1">
                                  <w:pPr>
                                    <w:pStyle w:val="Brdindrag"/>
                                    <w:ind w:firstLine="0"/>
                                    <w:jc w:val="left"/>
                                    <w:rPr>
                                      <w:i/>
                                      <w:sz w:val="18"/>
                                      <w:szCs w:val="14"/>
                                    </w:rPr>
                                  </w:pPr>
                                </w:p>
                              </w:tc>
                              <w:tc>
                                <w:tcPr>
                                  <w:tcW w:w="2693" w:type="dxa"/>
                                </w:tcPr>
                                <w:p w:rsidR="00AA31AF" w:rsidRPr="009B52BB" w:rsidRDefault="00AA31AF" w:rsidP="00B177E1">
                                  <w:pPr>
                                    <w:pStyle w:val="Brdindrag"/>
                                    <w:ind w:left="601" w:hanging="601"/>
                                    <w:jc w:val="left"/>
                                    <w:rPr>
                                      <w:i/>
                                      <w:sz w:val="18"/>
                                      <w:szCs w:val="14"/>
                                    </w:rPr>
                                  </w:pPr>
                                  <w:r>
                                    <w:rPr>
                                      <w:i/>
                                      <w:sz w:val="18"/>
                                      <w:szCs w:val="14"/>
                                    </w:rPr>
                                    <w:t>Change from 2016</w:t>
                                  </w:r>
                                </w:p>
                              </w:tc>
                              <w:tc>
                                <w:tcPr>
                                  <w:tcW w:w="2245" w:type="dxa"/>
                                </w:tcPr>
                                <w:p w:rsidR="00AA31AF" w:rsidRDefault="00AA31AF" w:rsidP="00B177E1">
                                  <w:pPr>
                                    <w:pStyle w:val="Brdindrag"/>
                                    <w:ind w:left="601" w:hanging="601"/>
                                    <w:jc w:val="left"/>
                                    <w:rPr>
                                      <w:sz w:val="18"/>
                                      <w:szCs w:val="14"/>
                                    </w:rPr>
                                  </w:pPr>
                                  <w:r>
                                    <w:rPr>
                                      <w:sz w:val="18"/>
                                      <w:szCs w:val="14"/>
                                    </w:rPr>
                                    <w:t>+17</w:t>
                                  </w:r>
                                  <w:r w:rsidRPr="005A4683">
                                    <w:rPr>
                                      <w:sz w:val="18"/>
                                      <w:szCs w:val="14"/>
                                    </w:rPr>
                                    <w:t> </w:t>
                                  </w:r>
                                  <w:r>
                                    <w:rPr>
                                      <w:sz w:val="18"/>
                                      <w:szCs w:val="14"/>
                                    </w:rPr>
                                    <w:t>500 (+8 %)</w:t>
                                  </w:r>
                                </w:p>
                              </w:tc>
                            </w:tr>
                            <w:tr w:rsidR="00AA31AF" w:rsidTr="00B177E1">
                              <w:trPr>
                                <w:trHeight w:val="340"/>
                              </w:trPr>
                              <w:tc>
                                <w:tcPr>
                                  <w:tcW w:w="1101" w:type="dxa"/>
                                </w:tcPr>
                                <w:p w:rsidR="00AA31AF" w:rsidRPr="003B0A1B" w:rsidRDefault="00AA31AF" w:rsidP="00B177E1">
                                  <w:pPr>
                                    <w:pStyle w:val="Brdindrag"/>
                                    <w:ind w:firstLine="0"/>
                                    <w:jc w:val="left"/>
                                    <w:rPr>
                                      <w:sz w:val="18"/>
                                      <w:szCs w:val="14"/>
                                    </w:rPr>
                                  </w:pPr>
                                </w:p>
                              </w:tc>
                              <w:tc>
                                <w:tcPr>
                                  <w:tcW w:w="2693" w:type="dxa"/>
                                </w:tcPr>
                                <w:p w:rsidR="00AA31AF" w:rsidRDefault="00AA31AF" w:rsidP="00B177E1">
                                  <w:pPr>
                                    <w:pStyle w:val="Brdindrag"/>
                                    <w:ind w:left="601" w:hanging="601"/>
                                    <w:jc w:val="left"/>
                                    <w:rPr>
                                      <w:sz w:val="18"/>
                                      <w:szCs w:val="14"/>
                                    </w:rPr>
                                  </w:pPr>
                                </w:p>
                              </w:tc>
                              <w:tc>
                                <w:tcPr>
                                  <w:tcW w:w="2245" w:type="dxa"/>
                                </w:tcPr>
                                <w:p w:rsidR="00AA31AF" w:rsidRDefault="00AA31AF" w:rsidP="00B177E1">
                                  <w:pPr>
                                    <w:pStyle w:val="Brdindrag"/>
                                    <w:ind w:left="601" w:hanging="601"/>
                                    <w:jc w:val="left"/>
                                    <w:rPr>
                                      <w:sz w:val="18"/>
                                      <w:szCs w:val="14"/>
                                    </w:rPr>
                                  </w:pPr>
                                </w:p>
                              </w:tc>
                            </w:tr>
                            <w:tr w:rsidR="00AA31AF" w:rsidTr="00B177E1">
                              <w:trPr>
                                <w:trHeight w:val="567"/>
                              </w:trPr>
                              <w:tc>
                                <w:tcPr>
                                  <w:tcW w:w="1101" w:type="dxa"/>
                                </w:tcPr>
                                <w:p w:rsidR="00AA31AF" w:rsidRPr="00E408A0" w:rsidRDefault="00AA31AF" w:rsidP="00B177E1">
                                  <w:pPr>
                                    <w:pStyle w:val="Brdindrag"/>
                                    <w:ind w:firstLine="0"/>
                                    <w:jc w:val="left"/>
                                    <w:rPr>
                                      <w:sz w:val="18"/>
                                      <w:szCs w:val="14"/>
                                    </w:rPr>
                                  </w:pPr>
                                </w:p>
                              </w:tc>
                              <w:tc>
                                <w:tcPr>
                                  <w:tcW w:w="2693" w:type="dxa"/>
                                </w:tcPr>
                                <w:p w:rsidR="00AA31AF" w:rsidRPr="00E408A0" w:rsidRDefault="00AA31AF" w:rsidP="00B177E1">
                                  <w:pPr>
                                    <w:pStyle w:val="Brdindrag"/>
                                    <w:ind w:left="601" w:hanging="601"/>
                                    <w:jc w:val="left"/>
                                    <w:rPr>
                                      <w:sz w:val="18"/>
                                      <w:szCs w:val="14"/>
                                    </w:rPr>
                                  </w:pPr>
                                </w:p>
                              </w:tc>
                              <w:tc>
                                <w:tcPr>
                                  <w:tcW w:w="2245" w:type="dxa"/>
                                </w:tcPr>
                                <w:p w:rsidR="00AA31AF" w:rsidRPr="00E408A0" w:rsidRDefault="00AA31AF" w:rsidP="00B177E1">
                                  <w:pPr>
                                    <w:pStyle w:val="Brdindrag"/>
                                    <w:ind w:left="601" w:hanging="601"/>
                                    <w:jc w:val="left"/>
                                    <w:rPr>
                                      <w:sz w:val="18"/>
                                      <w:szCs w:val="14"/>
                                    </w:rPr>
                                  </w:pPr>
                                </w:p>
                              </w:tc>
                            </w:tr>
                            <w:tr w:rsidR="00AA31AF" w:rsidTr="00B177E1">
                              <w:trPr>
                                <w:trHeight w:val="567"/>
                              </w:trPr>
                              <w:tc>
                                <w:tcPr>
                                  <w:tcW w:w="1101" w:type="dxa"/>
                                </w:tcPr>
                                <w:p w:rsidR="00AA31AF" w:rsidRPr="00E408A0" w:rsidRDefault="00AA31AF" w:rsidP="00B177E1">
                                  <w:pPr>
                                    <w:pStyle w:val="Brdindrag"/>
                                    <w:ind w:firstLine="0"/>
                                    <w:jc w:val="left"/>
                                    <w:rPr>
                                      <w:sz w:val="18"/>
                                      <w:szCs w:val="14"/>
                                    </w:rPr>
                                  </w:pPr>
                                </w:p>
                              </w:tc>
                              <w:tc>
                                <w:tcPr>
                                  <w:tcW w:w="2693" w:type="dxa"/>
                                </w:tcPr>
                                <w:p w:rsidR="00AA31AF" w:rsidRPr="00E408A0" w:rsidRDefault="00AA31AF" w:rsidP="00B177E1">
                                  <w:pPr>
                                    <w:pStyle w:val="Brdindrag"/>
                                    <w:ind w:left="601" w:hanging="601"/>
                                    <w:jc w:val="left"/>
                                    <w:rPr>
                                      <w:sz w:val="18"/>
                                      <w:szCs w:val="14"/>
                                    </w:rPr>
                                  </w:pPr>
                                </w:p>
                              </w:tc>
                              <w:tc>
                                <w:tcPr>
                                  <w:tcW w:w="2245" w:type="dxa"/>
                                </w:tcPr>
                                <w:p w:rsidR="00AA31AF" w:rsidRPr="00E408A0" w:rsidRDefault="00AA31AF" w:rsidP="00B177E1">
                                  <w:pPr>
                                    <w:pStyle w:val="Brdindrag"/>
                                    <w:ind w:left="601" w:hanging="601"/>
                                    <w:jc w:val="left"/>
                                    <w:rPr>
                                      <w:sz w:val="18"/>
                                      <w:szCs w:val="14"/>
                                    </w:rPr>
                                  </w:pPr>
                                </w:p>
                              </w:tc>
                            </w:tr>
                          </w:tbl>
                          <w:p w:rsidR="00AA31AF" w:rsidRPr="009360E6" w:rsidRDefault="00AA31AF" w:rsidP="00B177E1">
                            <w:pPr>
                              <w:pStyle w:val="Brdindrag"/>
                              <w:ind w:firstLine="0"/>
                              <w:rPr>
                                <w:sz w:val="18"/>
                                <w:szCs w:val="14"/>
                              </w:rPr>
                            </w:pPr>
                          </w:p>
                        </w:txbxContent>
                      </wps:txbx>
                      <wps:bodyPr rot="0" vert="horz" wrap="square" lIns="91440" tIns="45720" rIns="91440" bIns="45720" anchor="t" anchorCtr="0">
                        <a:noAutofit/>
                      </wps:bodyPr>
                    </wps:wsp>
                  </a:graphicData>
                </a:graphic>
              </wp:inline>
            </w:drawing>
          </mc:Choice>
          <mc:Fallback>
            <w:pict>
              <v:shape id="_x0000_s1028" type="#_x0000_t202" style="width:291.7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" fillcolor="#f2f2f2" strokecolor="#d9d9d9" strokeweight="2.25pt">
                <v:textbox>
                  <w:txbxContent>
                    <w:p w:rsidR="00AA31AF" w:rsidRPr="00081C03" w:rsidRDefault="00AA31AF" w:rsidP="00B177E1">
                      <w:pPr>
                        <w:spacing w:line="360" w:lineRule="auto"/>
                        <w:rPr>
                          <w:b/>
                          <w:sz w:val="18"/>
                          <w:szCs w:val="14"/>
                          <w:lang w:val="en-US"/>
                        </w:rPr>
                      </w:pPr>
                      <w:r w:rsidRPr="001F6EA2">
                        <w:rPr>
                          <w:b/>
                          <w:sz w:val="18"/>
                          <w:szCs w:val="14"/>
                          <w:lang w:val="en-US"/>
                        </w:rPr>
                        <w:t>Result from 2018 and change from 2017 and 2016</w:t>
                      </w:r>
                    </w:p>
                    <w:tbl>
                      <w:tblPr>
                        <w:tblW w:w="6039" w:type="dxa"/>
                        <w:tblLook w:val="04A0" w:firstRow="1" w:lastRow="0" w:firstColumn="1" w:lastColumn="0" w:noHBand="0" w:noVBand="1"/>
                      </w:tblPr>
                      <w:tblGrid>
                        <w:gridCol w:w="1101"/>
                        <w:gridCol w:w="2693"/>
                        <w:gridCol w:w="2245"/>
                      </w:tblGrid>
                      <w:tr w:rsidR="00AA31AF" w:rsidTr="00B177E1">
                        <w:trPr>
                          <w:trHeight w:val="399"/>
                        </w:trPr>
                        <w:tc>
                          <w:tcPr>
                            <w:tcW w:w="3794" w:type="dxa"/>
                            <w:gridSpan w:val="2"/>
                          </w:tcPr>
                          <w:p w:rsidR="00AA31AF" w:rsidRDefault="00AA31AF" w:rsidP="00B177E1">
                            <w:pPr>
                              <w:pStyle w:val="Brdindrag"/>
                              <w:ind w:left="601" w:hanging="601"/>
                              <w:jc w:val="left"/>
                              <w:rPr>
                                <w:sz w:val="18"/>
                                <w:szCs w:val="14"/>
                              </w:rPr>
                            </w:pPr>
                            <w:r>
                              <w:rPr>
                                <w:i/>
                                <w:sz w:val="18"/>
                                <w:szCs w:val="14"/>
                              </w:rPr>
                              <w:t xml:space="preserve">Final </w:t>
                            </w:r>
                            <w:proofErr w:type="spellStart"/>
                            <w:r>
                              <w:rPr>
                                <w:i/>
                                <w:sz w:val="18"/>
                                <w:szCs w:val="14"/>
                              </w:rPr>
                              <w:t>balance</w:t>
                            </w:r>
                            <w:proofErr w:type="spellEnd"/>
                            <w:r>
                              <w:rPr>
                                <w:i/>
                                <w:sz w:val="18"/>
                                <w:szCs w:val="14"/>
                              </w:rPr>
                              <w:t xml:space="preserve"> in 2018</w:t>
                            </w:r>
                            <w:r w:rsidRPr="009360E6">
                              <w:rPr>
                                <w:i/>
                                <w:sz w:val="18"/>
                                <w:szCs w:val="14"/>
                              </w:rPr>
                              <w:t>:</w:t>
                            </w:r>
                          </w:p>
                        </w:tc>
                        <w:tc>
                          <w:tcPr>
                            <w:tcW w:w="2245" w:type="dxa"/>
                          </w:tcPr>
                          <w:p w:rsidR="00AA31AF" w:rsidRDefault="00AA31AF" w:rsidP="00B177E1">
                            <w:pPr>
                              <w:pStyle w:val="Brdindrag"/>
                              <w:ind w:left="601" w:hanging="601"/>
                              <w:jc w:val="left"/>
                              <w:rPr>
                                <w:sz w:val="18"/>
                                <w:szCs w:val="14"/>
                              </w:rPr>
                            </w:pPr>
                            <w:r>
                              <w:rPr>
                                <w:sz w:val="18"/>
                                <w:szCs w:val="14"/>
                              </w:rPr>
                              <w:t>227 000</w:t>
                            </w:r>
                          </w:p>
                          <w:p w:rsidR="00AA31AF" w:rsidRPr="00E408A0" w:rsidRDefault="00AA31AF" w:rsidP="00B177E1">
                            <w:pPr>
                              <w:pStyle w:val="Brdindrag"/>
                              <w:ind w:left="601" w:hanging="601"/>
                              <w:jc w:val="left"/>
                              <w:rPr>
                                <w:sz w:val="18"/>
                                <w:szCs w:val="14"/>
                              </w:rPr>
                            </w:pPr>
                          </w:p>
                        </w:tc>
                      </w:tr>
                      <w:tr w:rsidR="00AA31AF" w:rsidTr="00B177E1">
                        <w:trPr>
                          <w:trHeight w:val="391"/>
                        </w:trPr>
                        <w:tc>
                          <w:tcPr>
                            <w:tcW w:w="1101" w:type="dxa"/>
                          </w:tcPr>
                          <w:p w:rsidR="00AA31AF" w:rsidRDefault="00AA31AF" w:rsidP="00B177E1">
                            <w:pPr>
                              <w:pStyle w:val="Brdindrag"/>
                              <w:ind w:firstLine="0"/>
                              <w:jc w:val="left"/>
                              <w:rPr>
                                <w:i/>
                                <w:sz w:val="18"/>
                                <w:szCs w:val="14"/>
                              </w:rPr>
                            </w:pPr>
                          </w:p>
                        </w:tc>
                        <w:tc>
                          <w:tcPr>
                            <w:tcW w:w="2693" w:type="dxa"/>
                          </w:tcPr>
                          <w:p w:rsidR="00AA31AF" w:rsidRPr="009B52BB" w:rsidRDefault="00AA31AF" w:rsidP="00B177E1">
                            <w:pPr>
                              <w:pStyle w:val="Brdindrag"/>
                              <w:ind w:left="601" w:hanging="601"/>
                              <w:jc w:val="left"/>
                              <w:rPr>
                                <w:i/>
                                <w:sz w:val="18"/>
                                <w:szCs w:val="14"/>
                              </w:rPr>
                            </w:pPr>
                            <w:r>
                              <w:rPr>
                                <w:i/>
                                <w:sz w:val="18"/>
                                <w:szCs w:val="14"/>
                              </w:rPr>
                              <w:t>Change from</w:t>
                            </w:r>
                            <w:r w:rsidRPr="009B52BB">
                              <w:rPr>
                                <w:i/>
                                <w:sz w:val="18"/>
                                <w:szCs w:val="14"/>
                              </w:rPr>
                              <w:t xml:space="preserve"> 2017</w:t>
                            </w:r>
                          </w:p>
                        </w:tc>
                        <w:tc>
                          <w:tcPr>
                            <w:tcW w:w="2245" w:type="dxa"/>
                          </w:tcPr>
                          <w:p w:rsidR="00AA31AF" w:rsidRDefault="00AA31AF" w:rsidP="00B177E1">
                            <w:pPr>
                              <w:pStyle w:val="Brdindrag"/>
                              <w:ind w:left="601" w:hanging="601"/>
                              <w:jc w:val="left"/>
                              <w:rPr>
                                <w:sz w:val="18"/>
                                <w:szCs w:val="14"/>
                              </w:rPr>
                            </w:pPr>
                            <w:r>
                              <w:rPr>
                                <w:sz w:val="18"/>
                                <w:szCs w:val="14"/>
                              </w:rPr>
                              <w:t>+9</w:t>
                            </w:r>
                            <w:r w:rsidRPr="005A4683">
                              <w:rPr>
                                <w:sz w:val="18"/>
                                <w:szCs w:val="14"/>
                              </w:rPr>
                              <w:t> </w:t>
                            </w:r>
                            <w:r>
                              <w:rPr>
                                <w:sz w:val="18"/>
                                <w:szCs w:val="14"/>
                              </w:rPr>
                              <w:t>120 (+4 %)</w:t>
                            </w:r>
                          </w:p>
                        </w:tc>
                      </w:tr>
                      <w:tr w:rsidR="00AA31AF" w:rsidTr="00B177E1">
                        <w:trPr>
                          <w:trHeight w:val="680"/>
                        </w:trPr>
                        <w:tc>
                          <w:tcPr>
                            <w:tcW w:w="1101" w:type="dxa"/>
                          </w:tcPr>
                          <w:p w:rsidR="00AA31AF" w:rsidRDefault="00AA31AF" w:rsidP="00B177E1">
                            <w:pPr>
                              <w:pStyle w:val="Brdindrag"/>
                              <w:ind w:firstLine="0"/>
                              <w:jc w:val="left"/>
                              <w:rPr>
                                <w:i/>
                                <w:sz w:val="18"/>
                                <w:szCs w:val="14"/>
                              </w:rPr>
                            </w:pPr>
                          </w:p>
                        </w:tc>
                        <w:tc>
                          <w:tcPr>
                            <w:tcW w:w="2693" w:type="dxa"/>
                          </w:tcPr>
                          <w:p w:rsidR="00AA31AF" w:rsidRPr="009B52BB" w:rsidRDefault="00AA31AF" w:rsidP="00B177E1">
                            <w:pPr>
                              <w:pStyle w:val="Brdindrag"/>
                              <w:ind w:left="601" w:hanging="601"/>
                              <w:jc w:val="left"/>
                              <w:rPr>
                                <w:i/>
                                <w:sz w:val="18"/>
                                <w:szCs w:val="14"/>
                              </w:rPr>
                            </w:pPr>
                            <w:r>
                              <w:rPr>
                                <w:i/>
                                <w:sz w:val="18"/>
                                <w:szCs w:val="14"/>
                              </w:rPr>
                              <w:t>Change from 2016</w:t>
                            </w:r>
                          </w:p>
                        </w:tc>
                        <w:tc>
                          <w:tcPr>
                            <w:tcW w:w="2245" w:type="dxa"/>
                          </w:tcPr>
                          <w:p w:rsidR="00AA31AF" w:rsidRDefault="00AA31AF" w:rsidP="00B177E1">
                            <w:pPr>
                              <w:pStyle w:val="Brdindrag"/>
                              <w:ind w:left="601" w:hanging="601"/>
                              <w:jc w:val="left"/>
                              <w:rPr>
                                <w:sz w:val="18"/>
                                <w:szCs w:val="14"/>
                              </w:rPr>
                            </w:pPr>
                            <w:r>
                              <w:rPr>
                                <w:sz w:val="18"/>
                                <w:szCs w:val="14"/>
                              </w:rPr>
                              <w:t>+17</w:t>
                            </w:r>
                            <w:r w:rsidRPr="005A4683">
                              <w:rPr>
                                <w:sz w:val="18"/>
                                <w:szCs w:val="14"/>
                              </w:rPr>
                              <w:t> </w:t>
                            </w:r>
                            <w:r>
                              <w:rPr>
                                <w:sz w:val="18"/>
                                <w:szCs w:val="14"/>
                              </w:rPr>
                              <w:t>500 (+8 %)</w:t>
                            </w:r>
                          </w:p>
                        </w:tc>
                      </w:tr>
                      <w:tr w:rsidR="00AA31AF" w:rsidTr="00B177E1">
                        <w:trPr>
                          <w:trHeight w:val="340"/>
                        </w:trPr>
                        <w:tc>
                          <w:tcPr>
                            <w:tcW w:w="1101" w:type="dxa"/>
                          </w:tcPr>
                          <w:p w:rsidR="00AA31AF" w:rsidRPr="003B0A1B" w:rsidRDefault="00AA31AF" w:rsidP="00B177E1">
                            <w:pPr>
                              <w:pStyle w:val="Brdindrag"/>
                              <w:ind w:firstLine="0"/>
                              <w:jc w:val="left"/>
                              <w:rPr>
                                <w:sz w:val="18"/>
                                <w:szCs w:val="14"/>
                              </w:rPr>
                            </w:pPr>
                          </w:p>
                        </w:tc>
                        <w:tc>
                          <w:tcPr>
                            <w:tcW w:w="2693" w:type="dxa"/>
                          </w:tcPr>
                          <w:p w:rsidR="00AA31AF" w:rsidRDefault="00AA31AF" w:rsidP="00B177E1">
                            <w:pPr>
                              <w:pStyle w:val="Brdindrag"/>
                              <w:ind w:left="601" w:hanging="601"/>
                              <w:jc w:val="left"/>
                              <w:rPr>
                                <w:sz w:val="18"/>
                                <w:szCs w:val="14"/>
                              </w:rPr>
                            </w:pPr>
                          </w:p>
                        </w:tc>
                        <w:tc>
                          <w:tcPr>
                            <w:tcW w:w="2245" w:type="dxa"/>
                          </w:tcPr>
                          <w:p w:rsidR="00AA31AF" w:rsidRDefault="00AA31AF" w:rsidP="00B177E1">
                            <w:pPr>
                              <w:pStyle w:val="Brdindrag"/>
                              <w:ind w:left="601" w:hanging="601"/>
                              <w:jc w:val="left"/>
                              <w:rPr>
                                <w:sz w:val="18"/>
                                <w:szCs w:val="14"/>
                              </w:rPr>
                            </w:pPr>
                          </w:p>
                        </w:tc>
                      </w:tr>
                      <w:tr w:rsidR="00AA31AF" w:rsidTr="00B177E1">
                        <w:trPr>
                          <w:trHeight w:val="567"/>
                        </w:trPr>
                        <w:tc>
                          <w:tcPr>
                            <w:tcW w:w="1101" w:type="dxa"/>
                          </w:tcPr>
                          <w:p w:rsidR="00AA31AF" w:rsidRPr="00E408A0" w:rsidRDefault="00AA31AF" w:rsidP="00B177E1">
                            <w:pPr>
                              <w:pStyle w:val="Brdindrag"/>
                              <w:ind w:firstLine="0"/>
                              <w:jc w:val="left"/>
                              <w:rPr>
                                <w:sz w:val="18"/>
                                <w:szCs w:val="14"/>
                              </w:rPr>
                            </w:pPr>
                          </w:p>
                        </w:tc>
                        <w:tc>
                          <w:tcPr>
                            <w:tcW w:w="2693" w:type="dxa"/>
                          </w:tcPr>
                          <w:p w:rsidR="00AA31AF" w:rsidRPr="00E408A0" w:rsidRDefault="00AA31AF" w:rsidP="00B177E1">
                            <w:pPr>
                              <w:pStyle w:val="Brdindrag"/>
                              <w:ind w:left="601" w:hanging="601"/>
                              <w:jc w:val="left"/>
                              <w:rPr>
                                <w:sz w:val="18"/>
                                <w:szCs w:val="14"/>
                              </w:rPr>
                            </w:pPr>
                          </w:p>
                        </w:tc>
                        <w:tc>
                          <w:tcPr>
                            <w:tcW w:w="2245" w:type="dxa"/>
                          </w:tcPr>
                          <w:p w:rsidR="00AA31AF" w:rsidRPr="00E408A0" w:rsidRDefault="00AA31AF" w:rsidP="00B177E1">
                            <w:pPr>
                              <w:pStyle w:val="Brdindrag"/>
                              <w:ind w:left="601" w:hanging="601"/>
                              <w:jc w:val="left"/>
                              <w:rPr>
                                <w:sz w:val="18"/>
                                <w:szCs w:val="14"/>
                              </w:rPr>
                            </w:pPr>
                          </w:p>
                        </w:tc>
                      </w:tr>
                      <w:tr w:rsidR="00AA31AF" w:rsidTr="00B177E1">
                        <w:trPr>
                          <w:trHeight w:val="567"/>
                        </w:trPr>
                        <w:tc>
                          <w:tcPr>
                            <w:tcW w:w="1101" w:type="dxa"/>
                          </w:tcPr>
                          <w:p w:rsidR="00AA31AF" w:rsidRPr="00E408A0" w:rsidRDefault="00AA31AF" w:rsidP="00B177E1">
                            <w:pPr>
                              <w:pStyle w:val="Brdindrag"/>
                              <w:ind w:firstLine="0"/>
                              <w:jc w:val="left"/>
                              <w:rPr>
                                <w:sz w:val="18"/>
                                <w:szCs w:val="14"/>
                              </w:rPr>
                            </w:pPr>
                          </w:p>
                        </w:tc>
                        <w:tc>
                          <w:tcPr>
                            <w:tcW w:w="2693" w:type="dxa"/>
                          </w:tcPr>
                          <w:p w:rsidR="00AA31AF" w:rsidRPr="00E408A0" w:rsidRDefault="00AA31AF" w:rsidP="00B177E1">
                            <w:pPr>
                              <w:pStyle w:val="Brdindrag"/>
                              <w:ind w:left="601" w:hanging="601"/>
                              <w:jc w:val="left"/>
                              <w:rPr>
                                <w:sz w:val="18"/>
                                <w:szCs w:val="14"/>
                              </w:rPr>
                            </w:pPr>
                          </w:p>
                        </w:tc>
                        <w:tc>
                          <w:tcPr>
                            <w:tcW w:w="2245" w:type="dxa"/>
                          </w:tcPr>
                          <w:p w:rsidR="00AA31AF" w:rsidRPr="00E408A0" w:rsidRDefault="00AA31AF" w:rsidP="00B177E1">
                            <w:pPr>
                              <w:pStyle w:val="Brdindrag"/>
                              <w:ind w:left="601" w:hanging="601"/>
                              <w:jc w:val="left"/>
                              <w:rPr>
                                <w:sz w:val="18"/>
                                <w:szCs w:val="14"/>
                              </w:rPr>
                            </w:pPr>
                          </w:p>
                        </w:tc>
                      </w:tr>
                    </w:tbl>
                    <w:p w:rsidR="00AA31AF" w:rsidRPr="009360E6" w:rsidRDefault="00AA31AF" w:rsidP="00B177E1">
                      <w:pPr>
                        <w:pStyle w:val="Brdindrag"/>
                        <w:ind w:firstLine="0"/>
                        <w:rPr>
                          <w:sz w:val="18"/>
                          <w:szCs w:val="14"/>
                        </w:rPr>
                      </w:pPr>
                    </w:p>
                  </w:txbxContent>
                </v:textbox>
                <w10:anchorlock/>
              </v:shape>
            </w:pict>
          </mc:Fallback>
        </mc:AlternateContent>
      </w:r>
    </w:p>
    <w:p w:rsidR="00A66D96" w:rsidRPr="002B1447" w:rsidRDefault="00A66D96" w:rsidP="00A66D96">
      <w:pPr>
        <w:spacing w:before="120" w:after="0" w:line="360" w:lineRule="auto"/>
        <w:jc w:val="both"/>
        <w:rPr>
          <w:rFonts w:ascii="Arial" w:hAnsi="Arial" w:cs="Arial"/>
          <w:sz w:val="24"/>
          <w:szCs w:val="24"/>
          <w:lang w:val="en-US"/>
        </w:rPr>
      </w:pPr>
      <w:r>
        <w:rPr>
          <w:rFonts w:ascii="Arial" w:hAnsi="Arial" w:cs="Arial"/>
          <w:sz w:val="24"/>
          <w:szCs w:val="24"/>
          <w:lang w:val="en-US"/>
        </w:rPr>
        <w:t xml:space="preserve">Source: </w:t>
      </w:r>
      <w:proofErr w:type="spellStart"/>
      <w:r>
        <w:rPr>
          <w:rFonts w:ascii="Arial" w:hAnsi="Arial" w:cs="Arial"/>
          <w:sz w:val="24"/>
          <w:szCs w:val="24"/>
          <w:lang w:val="en-US"/>
        </w:rPr>
        <w:t>Brottsförebyggande</w:t>
      </w:r>
      <w:proofErr w:type="spellEnd"/>
      <w:r>
        <w:rPr>
          <w:rFonts w:ascii="Arial" w:hAnsi="Arial" w:cs="Arial"/>
          <w:sz w:val="24"/>
          <w:szCs w:val="24"/>
          <w:lang w:val="en-US"/>
        </w:rPr>
        <w:t xml:space="preserve"> </w:t>
      </w:r>
      <w:proofErr w:type="spellStart"/>
      <w:r>
        <w:rPr>
          <w:rFonts w:ascii="Arial" w:hAnsi="Arial" w:cs="Arial"/>
          <w:sz w:val="24"/>
          <w:szCs w:val="24"/>
          <w:lang w:val="en-US"/>
        </w:rPr>
        <w:t>rådet</w:t>
      </w:r>
      <w:proofErr w:type="spellEnd"/>
      <w:r>
        <w:rPr>
          <w:rFonts w:ascii="Arial" w:hAnsi="Arial" w:cs="Arial"/>
          <w:sz w:val="24"/>
          <w:szCs w:val="24"/>
          <w:lang w:val="en-US"/>
        </w:rPr>
        <w:t xml:space="preserve"> 2019c</w:t>
      </w:r>
    </w:p>
    <w:p w:rsidR="00A66D96" w:rsidRDefault="00A66D96" w:rsidP="00A66D96">
      <w:pPr>
        <w:spacing w:before="120" w:after="0" w:line="360" w:lineRule="auto"/>
        <w:jc w:val="both"/>
        <w:rPr>
          <w:rFonts w:ascii="Arial" w:hAnsi="Arial" w:cs="Arial"/>
          <w:sz w:val="24"/>
          <w:szCs w:val="24"/>
          <w:lang w:val="en-US"/>
        </w:rPr>
      </w:pP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Figure 8 shows an example of statistics on processing times, which are also a novel feature of the new statistics. </w:t>
      </w:r>
      <w:r w:rsidR="00BD444B">
        <w:rPr>
          <w:rFonts w:ascii="Arial" w:hAnsi="Arial" w:cs="Arial"/>
          <w:sz w:val="24"/>
          <w:szCs w:val="24"/>
          <w:lang w:val="en-US"/>
        </w:rPr>
        <w:t>For crime suspects registered i</w:t>
      </w:r>
      <w:r w:rsidRPr="0031262C">
        <w:rPr>
          <w:rFonts w:ascii="Arial" w:hAnsi="Arial" w:cs="Arial"/>
          <w:sz w:val="24"/>
          <w:szCs w:val="24"/>
          <w:lang w:val="en-US"/>
        </w:rPr>
        <w:t>n 2017, the total median time from registration to a decision on whether or not to instigate legal proceedings was 68 days</w:t>
      </w:r>
      <w:r w:rsidR="00A66D96">
        <w:rPr>
          <w:rFonts w:ascii="Arial" w:hAnsi="Arial" w:cs="Arial"/>
          <w:sz w:val="24"/>
          <w:szCs w:val="24"/>
          <w:lang w:val="en-US"/>
        </w:rPr>
        <w:t xml:space="preserve"> (</w:t>
      </w:r>
      <w:proofErr w:type="spellStart"/>
      <w:r w:rsidR="00A66D96">
        <w:rPr>
          <w:rFonts w:ascii="Arial" w:hAnsi="Arial" w:cs="Arial"/>
          <w:sz w:val="24"/>
          <w:szCs w:val="24"/>
          <w:lang w:val="en-US"/>
        </w:rPr>
        <w:t>Brottsförebyggande</w:t>
      </w:r>
      <w:proofErr w:type="spellEnd"/>
      <w:r w:rsidR="00A66D96">
        <w:rPr>
          <w:rFonts w:ascii="Arial" w:hAnsi="Arial" w:cs="Arial"/>
          <w:sz w:val="24"/>
          <w:szCs w:val="24"/>
          <w:lang w:val="en-US"/>
        </w:rPr>
        <w:t xml:space="preserve"> </w:t>
      </w:r>
      <w:proofErr w:type="spellStart"/>
      <w:r w:rsidR="00A66D96">
        <w:rPr>
          <w:rFonts w:ascii="Arial" w:hAnsi="Arial" w:cs="Arial"/>
          <w:sz w:val="24"/>
          <w:szCs w:val="24"/>
          <w:lang w:val="en-US"/>
        </w:rPr>
        <w:t>rådet</w:t>
      </w:r>
      <w:proofErr w:type="spellEnd"/>
      <w:r w:rsidR="00E25E65">
        <w:rPr>
          <w:rFonts w:ascii="Arial" w:hAnsi="Arial" w:cs="Arial"/>
          <w:sz w:val="24"/>
          <w:szCs w:val="24"/>
          <w:lang w:val="en-US"/>
        </w:rPr>
        <w:t>,</w:t>
      </w:r>
      <w:r w:rsidR="00A66D96">
        <w:rPr>
          <w:rFonts w:ascii="Arial" w:hAnsi="Arial" w:cs="Arial"/>
          <w:sz w:val="24"/>
          <w:szCs w:val="24"/>
          <w:lang w:val="en-US"/>
        </w:rPr>
        <w:t xml:space="preserve"> 2019b)</w:t>
      </w:r>
      <w:r w:rsidRPr="0031262C">
        <w:rPr>
          <w:rFonts w:ascii="Arial" w:hAnsi="Arial" w:cs="Arial"/>
          <w:sz w:val="24"/>
          <w:szCs w:val="24"/>
          <w:lang w:val="en-US"/>
        </w:rPr>
        <w:t xml:space="preserve">. The figure also shows that the most time-consuming part of the process was the investigation. The median time from the initiation of an investigation to a completed investigation was 60 days and the median </w:t>
      </w:r>
      <w:r w:rsidRPr="0031262C">
        <w:rPr>
          <w:rFonts w:ascii="Arial" w:hAnsi="Arial" w:cs="Arial"/>
          <w:sz w:val="24"/>
          <w:szCs w:val="24"/>
          <w:lang w:val="en-US"/>
        </w:rPr>
        <w:lastRenderedPageBreak/>
        <w:t>time from initiation of an investigation to the discontinuation of an investigation was 43 days.</w:t>
      </w: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The figure presents the interquartile ranges in parentheses. These ranges show large variations in processing times, which is of course a consequence of the different characteristics and varying complexity of different types of crime. </w:t>
      </w:r>
    </w:p>
    <w:p w:rsidR="00B177E1"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As the follow-up time was one year, 365 days is the maximum number of days. Thus, processing times longer than 365 days were excluded from the calculations. Primarily as a result of erroneous registration dates, some processing times turned out to be negative. These times were also excluded in those cases where it was not possible to correct them. If, for instance, date of a completed investigation is missing for a suspect, the time from registration of the crime suspect to the completion of investigation cannot be calculated. However, as long as the date of the decision on whether or not to instigate legal proceedings is available, the total time from registration of the crime suspect to the final decision can still be calculated. </w:t>
      </w:r>
    </w:p>
    <w:p w:rsidR="003D118F" w:rsidRPr="0031262C" w:rsidRDefault="003D118F" w:rsidP="004127D9">
      <w:pPr>
        <w:spacing w:before="120" w:after="0" w:line="360" w:lineRule="auto"/>
        <w:rPr>
          <w:rFonts w:ascii="Arial" w:hAnsi="Arial" w:cs="Arial"/>
          <w:sz w:val="20"/>
          <w:szCs w:val="20"/>
          <w:lang w:val="en-US"/>
        </w:rPr>
      </w:pPr>
    </w:p>
    <w:p w:rsidR="00B177E1" w:rsidRPr="00845EDF" w:rsidRDefault="00B177E1" w:rsidP="003D118F">
      <w:pPr>
        <w:pStyle w:val="Beskrivning"/>
        <w:keepNext/>
        <w:spacing w:line="360" w:lineRule="auto"/>
        <w:rPr>
          <w:rFonts w:ascii="Arial" w:hAnsi="Arial" w:cs="Arial"/>
          <w:b/>
          <w:i w:val="0"/>
          <w:color w:val="auto"/>
          <w:sz w:val="20"/>
          <w:szCs w:val="20"/>
          <w:lang w:val="en-US"/>
        </w:rPr>
      </w:pPr>
      <w:proofErr w:type="gramStart"/>
      <w:r w:rsidRPr="00845EDF">
        <w:rPr>
          <w:rFonts w:ascii="Arial" w:hAnsi="Arial" w:cs="Arial"/>
          <w:b/>
          <w:i w:val="0"/>
          <w:color w:val="auto"/>
          <w:sz w:val="20"/>
          <w:szCs w:val="20"/>
          <w:lang w:val="en-US"/>
        </w:rPr>
        <w:t>Figure 8.</w:t>
      </w:r>
      <w:proofErr w:type="gramEnd"/>
      <w:r w:rsidRPr="00845EDF">
        <w:rPr>
          <w:rFonts w:ascii="Arial" w:hAnsi="Arial" w:cs="Arial"/>
          <w:b/>
          <w:i w:val="0"/>
          <w:color w:val="auto"/>
          <w:sz w:val="20"/>
          <w:szCs w:val="20"/>
          <w:lang w:val="en-US"/>
        </w:rPr>
        <w:t xml:space="preserve"> Processing times for crime suspects 2017, expressed in median number of days (quartiles in parentheses).</w:t>
      </w:r>
    </w:p>
    <w:p w:rsidR="00A66D96" w:rsidRPr="002B1447" w:rsidRDefault="00B177E1" w:rsidP="00A66D96">
      <w:pPr>
        <w:spacing w:line="360" w:lineRule="auto"/>
        <w:jc w:val="both"/>
        <w:rPr>
          <w:rFonts w:ascii="Arial" w:hAnsi="Arial" w:cs="Arial"/>
          <w:sz w:val="24"/>
          <w:szCs w:val="24"/>
          <w:lang w:val="en-US"/>
        </w:rPr>
      </w:pPr>
      <w:r w:rsidRPr="0031262C">
        <w:rPr>
          <w:rFonts w:ascii="Arial" w:eastAsia="Calibri" w:hAnsi="Arial" w:cs="Arial"/>
          <w:sz w:val="19"/>
        </w:rPr>
        <w:object w:dxaOrig="5018" w:dyaOrig="1991">
          <v:shape id="_x0000_i1026" type="#_x0000_t75" style="width:502.65pt;height:198.75pt" o:ole="">
            <v:imagedata r:id="rId18" o:title=""/>
          </v:shape>
          <o:OLEObject Type="Embed" ProgID="PowerPoint.Show.12" ShapeID="_x0000_i1026" DrawAspect="Content" ObjectID="_1623050955" r:id="rId19"/>
        </w:object>
      </w:r>
      <w:r w:rsidR="00A66D96" w:rsidRPr="00A66D96">
        <w:rPr>
          <w:rFonts w:ascii="Arial" w:hAnsi="Arial" w:cs="Arial"/>
          <w:sz w:val="24"/>
          <w:szCs w:val="24"/>
          <w:lang w:val="en-US"/>
        </w:rPr>
        <w:t xml:space="preserve"> </w:t>
      </w:r>
      <w:r w:rsidR="00A66D96">
        <w:rPr>
          <w:rFonts w:ascii="Arial" w:hAnsi="Arial" w:cs="Arial"/>
          <w:sz w:val="24"/>
          <w:szCs w:val="24"/>
          <w:lang w:val="en-US"/>
        </w:rPr>
        <w:t xml:space="preserve">Source: </w:t>
      </w:r>
      <w:proofErr w:type="spellStart"/>
      <w:r w:rsidR="00A66D96">
        <w:rPr>
          <w:rFonts w:ascii="Arial" w:hAnsi="Arial" w:cs="Arial"/>
          <w:sz w:val="24"/>
          <w:szCs w:val="24"/>
          <w:lang w:val="en-US"/>
        </w:rPr>
        <w:t>Brottsförebyggande</w:t>
      </w:r>
      <w:proofErr w:type="spellEnd"/>
      <w:r w:rsidR="00A66D96">
        <w:rPr>
          <w:rFonts w:ascii="Arial" w:hAnsi="Arial" w:cs="Arial"/>
          <w:sz w:val="24"/>
          <w:szCs w:val="24"/>
          <w:lang w:val="en-US"/>
        </w:rPr>
        <w:t xml:space="preserve"> </w:t>
      </w:r>
      <w:proofErr w:type="spellStart"/>
      <w:r w:rsidR="00A66D96">
        <w:rPr>
          <w:rFonts w:ascii="Arial" w:hAnsi="Arial" w:cs="Arial"/>
          <w:sz w:val="24"/>
          <w:szCs w:val="24"/>
          <w:lang w:val="en-US"/>
        </w:rPr>
        <w:t>rådet</w:t>
      </w:r>
      <w:proofErr w:type="spellEnd"/>
      <w:r w:rsidR="00A66D96">
        <w:rPr>
          <w:rFonts w:ascii="Arial" w:hAnsi="Arial" w:cs="Arial"/>
          <w:sz w:val="24"/>
          <w:szCs w:val="24"/>
          <w:lang w:val="en-US"/>
        </w:rPr>
        <w:t xml:space="preserve"> 2019b</w:t>
      </w:r>
    </w:p>
    <w:p w:rsidR="00B177E1" w:rsidRPr="001B3041" w:rsidRDefault="00B177E1" w:rsidP="004127D9">
      <w:pPr>
        <w:pStyle w:val="Brdindrag"/>
        <w:spacing w:after="120" w:line="360" w:lineRule="auto"/>
        <w:ind w:hanging="567"/>
        <w:jc w:val="left"/>
        <w:rPr>
          <w:rFonts w:ascii="Arial" w:hAnsi="Arial" w:cs="Arial"/>
          <w:lang w:val="en-US"/>
        </w:rPr>
      </w:pPr>
    </w:p>
    <w:p w:rsidR="00B177E1" w:rsidRPr="004127D9" w:rsidRDefault="0034772D" w:rsidP="00845EDF">
      <w:pPr>
        <w:pStyle w:val="Rubrik2"/>
        <w:spacing w:before="360" w:line="360" w:lineRule="auto"/>
        <w:rPr>
          <w:rFonts w:ascii="Arial" w:hAnsi="Arial" w:cs="Arial"/>
          <w:i/>
          <w:color w:val="auto"/>
          <w:sz w:val="24"/>
          <w:szCs w:val="24"/>
          <w:lang w:val="en-US"/>
        </w:rPr>
      </w:pPr>
      <w:r>
        <w:rPr>
          <w:rFonts w:ascii="Arial" w:hAnsi="Arial" w:cs="Arial"/>
          <w:i/>
          <w:color w:val="auto"/>
          <w:sz w:val="24"/>
          <w:szCs w:val="24"/>
          <w:lang w:val="en-US"/>
        </w:rPr>
        <w:t xml:space="preserve">4.1 </w:t>
      </w:r>
      <w:r w:rsidR="00B177E1" w:rsidRPr="004127D9">
        <w:rPr>
          <w:rFonts w:ascii="Arial" w:hAnsi="Arial" w:cs="Arial"/>
          <w:i/>
          <w:color w:val="auto"/>
          <w:sz w:val="24"/>
          <w:szCs w:val="24"/>
          <w:lang w:val="en-US"/>
        </w:rPr>
        <w:t>How should the results be assessed in terms of quality?</w:t>
      </w:r>
    </w:p>
    <w:p w:rsidR="00B177E1" w:rsidRPr="0031262C" w:rsidRDefault="00B177E1" w:rsidP="00686C41">
      <w:pPr>
        <w:spacing w:before="120" w:after="0" w:line="360" w:lineRule="auto"/>
        <w:jc w:val="both"/>
        <w:rPr>
          <w:rFonts w:ascii="Arial" w:hAnsi="Arial" w:cs="Arial"/>
          <w:sz w:val="24"/>
          <w:szCs w:val="24"/>
          <w:lang w:val="en-US"/>
        </w:rPr>
      </w:pPr>
      <w:r w:rsidRPr="0031262C">
        <w:rPr>
          <w:rFonts w:ascii="Arial" w:hAnsi="Arial" w:cs="Arial"/>
          <w:sz w:val="24"/>
          <w:szCs w:val="24"/>
          <w:lang w:val="en-US"/>
        </w:rPr>
        <w:t xml:space="preserve">As was pointed out in the introduction, the aim of the new statistics was to provide a basis for describing, analyzing and following up activities through the criminal justice </w:t>
      </w:r>
      <w:r w:rsidRPr="0031262C">
        <w:rPr>
          <w:rFonts w:ascii="Arial" w:hAnsi="Arial" w:cs="Arial"/>
          <w:sz w:val="24"/>
          <w:szCs w:val="24"/>
          <w:lang w:val="en-US"/>
        </w:rPr>
        <w:lastRenderedPageBreak/>
        <w:t xml:space="preserve">process. However, since every single suspect is associated with </w:t>
      </w:r>
      <w:proofErr w:type="gramStart"/>
      <w:r w:rsidRPr="0031262C">
        <w:rPr>
          <w:rFonts w:ascii="Arial" w:hAnsi="Arial" w:cs="Arial"/>
          <w:sz w:val="24"/>
          <w:szCs w:val="24"/>
          <w:lang w:val="en-US"/>
        </w:rPr>
        <w:t>its own</w:t>
      </w:r>
      <w:proofErr w:type="gramEnd"/>
      <w:r w:rsidRPr="0031262C">
        <w:rPr>
          <w:rFonts w:ascii="Arial" w:hAnsi="Arial" w:cs="Arial"/>
          <w:sz w:val="24"/>
          <w:szCs w:val="24"/>
          <w:lang w:val="en-US"/>
        </w:rPr>
        <w:t xml:space="preserve"> unique set of characteristics, it is difficult to produce a universal assessment of the quality of investigative and prosecution activities on the basis of the statistics produced. For instance, how should one assess the proportion of discontinued investigations? The completion of an investigation is not always better than a discontinuation. </w:t>
      </w:r>
      <w:proofErr w:type="gramStart"/>
      <w:r w:rsidRPr="0031262C">
        <w:rPr>
          <w:rFonts w:ascii="Arial" w:hAnsi="Arial" w:cs="Arial"/>
          <w:sz w:val="24"/>
          <w:szCs w:val="24"/>
          <w:lang w:val="en-US"/>
        </w:rPr>
        <w:t>If further investigation would be too costly, in relation to the severity of the crime, or if the quality of evidence against the suspect is too poor, a discontinuation of the investigation is probably the most reasonable and cost-efficient decision.</w:t>
      </w:r>
      <w:proofErr w:type="gramEnd"/>
      <w:r w:rsidRPr="0031262C">
        <w:rPr>
          <w:rFonts w:ascii="Arial" w:hAnsi="Arial" w:cs="Arial"/>
          <w:sz w:val="24"/>
          <w:szCs w:val="24"/>
          <w:lang w:val="en-US"/>
        </w:rPr>
        <w:t xml:space="preserve"> It is even more difficult to assess the processing times. Shorter processing times should not be achieved at the expense of quality. In both of these examples, the available data lack the information needed to assess the result. </w:t>
      </w:r>
    </w:p>
    <w:p w:rsidR="00B177E1" w:rsidRPr="0031262C" w:rsidRDefault="00B177E1" w:rsidP="00686C41">
      <w:pPr>
        <w:spacing w:before="120" w:after="0" w:line="360" w:lineRule="auto"/>
        <w:jc w:val="both"/>
        <w:rPr>
          <w:rFonts w:ascii="Arial" w:hAnsi="Arial" w:cs="Arial"/>
          <w:sz w:val="20"/>
          <w:szCs w:val="20"/>
          <w:lang w:val="en-US"/>
        </w:rPr>
      </w:pPr>
      <w:r w:rsidRPr="0031262C">
        <w:rPr>
          <w:rFonts w:ascii="Arial" w:hAnsi="Arial" w:cs="Arial"/>
          <w:sz w:val="24"/>
          <w:szCs w:val="24"/>
          <w:lang w:val="en-US"/>
        </w:rPr>
        <w:t xml:space="preserve">Furthermore, changes in results can also be influenced by changes in the composition of the crimes committed. For instance, in recent years, the number of fraud suspects has increased, while the number of theft suspect has decreased </w:t>
      </w:r>
      <w:r w:rsidRPr="00E0724E">
        <w:rPr>
          <w:rFonts w:ascii="Arial" w:hAnsi="Arial" w:cs="Arial"/>
          <w:sz w:val="24"/>
          <w:szCs w:val="24"/>
          <w:lang w:val="en-US"/>
        </w:rPr>
        <w:t>(</w:t>
      </w:r>
      <w:proofErr w:type="spellStart"/>
      <w:r w:rsidR="00E0724E" w:rsidRPr="00E0724E">
        <w:rPr>
          <w:rFonts w:ascii="Arial" w:hAnsi="Arial" w:cs="Arial"/>
          <w:sz w:val="24"/>
          <w:szCs w:val="24"/>
          <w:lang w:val="en-US"/>
        </w:rPr>
        <w:t>Brottsförebyggande</w:t>
      </w:r>
      <w:proofErr w:type="spellEnd"/>
      <w:r w:rsidR="00E0724E" w:rsidRPr="00E0724E">
        <w:rPr>
          <w:rFonts w:ascii="Arial" w:hAnsi="Arial" w:cs="Arial"/>
          <w:sz w:val="24"/>
          <w:szCs w:val="24"/>
          <w:lang w:val="en-US"/>
        </w:rPr>
        <w:t xml:space="preserve"> </w:t>
      </w:r>
      <w:proofErr w:type="spellStart"/>
      <w:r w:rsidR="00E0724E" w:rsidRPr="00E0724E">
        <w:rPr>
          <w:rFonts w:ascii="Arial" w:hAnsi="Arial" w:cs="Arial"/>
          <w:sz w:val="24"/>
          <w:szCs w:val="24"/>
          <w:lang w:val="en-US"/>
        </w:rPr>
        <w:t>rådet</w:t>
      </w:r>
      <w:proofErr w:type="spellEnd"/>
      <w:r w:rsidR="00E25E65">
        <w:rPr>
          <w:rFonts w:ascii="Arial" w:hAnsi="Arial" w:cs="Arial"/>
          <w:sz w:val="24"/>
          <w:szCs w:val="24"/>
          <w:lang w:val="en-US"/>
        </w:rPr>
        <w:t>,</w:t>
      </w:r>
      <w:r w:rsidR="00E0724E" w:rsidRPr="00E0724E">
        <w:rPr>
          <w:rFonts w:ascii="Arial" w:hAnsi="Arial" w:cs="Arial"/>
          <w:sz w:val="24"/>
          <w:szCs w:val="24"/>
          <w:lang w:val="en-US"/>
        </w:rPr>
        <w:t xml:space="preserve"> 2019</w:t>
      </w:r>
      <w:r w:rsidR="00055237">
        <w:rPr>
          <w:rFonts w:ascii="Arial" w:hAnsi="Arial" w:cs="Arial"/>
          <w:sz w:val="24"/>
          <w:szCs w:val="24"/>
          <w:lang w:val="en-US"/>
        </w:rPr>
        <w:t>a</w:t>
      </w:r>
      <w:r w:rsidRPr="00E0724E">
        <w:rPr>
          <w:rFonts w:ascii="Arial" w:hAnsi="Arial" w:cs="Arial"/>
          <w:sz w:val="24"/>
          <w:szCs w:val="24"/>
          <w:lang w:val="en-US"/>
        </w:rPr>
        <w:t>)</w:t>
      </w:r>
      <w:r w:rsidRPr="0031262C">
        <w:rPr>
          <w:rFonts w:ascii="Arial" w:hAnsi="Arial" w:cs="Arial"/>
          <w:sz w:val="24"/>
          <w:szCs w:val="24"/>
          <w:lang w:val="en-US"/>
        </w:rPr>
        <w:t xml:space="preserve">. Since it is easier to complete an investigation regarding theft than an investigation regarding fraud, this development is likely to decrease the proportion of completed investigations, other things being equal. Similarly, the median time for investigating a fraud suspect is considerably longer than for investigating a theft suspect </w:t>
      </w:r>
      <w:r w:rsidRPr="00055237">
        <w:rPr>
          <w:rFonts w:ascii="Arial" w:hAnsi="Arial" w:cs="Arial"/>
          <w:sz w:val="24"/>
          <w:szCs w:val="24"/>
          <w:lang w:val="en-US"/>
        </w:rPr>
        <w:t>(</w:t>
      </w:r>
      <w:proofErr w:type="spellStart"/>
      <w:r w:rsidR="00055237" w:rsidRPr="00E0724E">
        <w:rPr>
          <w:rFonts w:ascii="Arial" w:hAnsi="Arial" w:cs="Arial"/>
          <w:sz w:val="24"/>
          <w:szCs w:val="24"/>
          <w:lang w:val="en-US"/>
        </w:rPr>
        <w:t>Brottsförebyggande</w:t>
      </w:r>
      <w:proofErr w:type="spellEnd"/>
      <w:r w:rsidR="00055237" w:rsidRPr="00E0724E">
        <w:rPr>
          <w:rFonts w:ascii="Arial" w:hAnsi="Arial" w:cs="Arial"/>
          <w:sz w:val="24"/>
          <w:szCs w:val="24"/>
          <w:lang w:val="en-US"/>
        </w:rPr>
        <w:t xml:space="preserve"> </w:t>
      </w:r>
      <w:proofErr w:type="spellStart"/>
      <w:r w:rsidR="00055237" w:rsidRPr="00E0724E">
        <w:rPr>
          <w:rFonts w:ascii="Arial" w:hAnsi="Arial" w:cs="Arial"/>
          <w:sz w:val="24"/>
          <w:szCs w:val="24"/>
          <w:lang w:val="en-US"/>
        </w:rPr>
        <w:t>rådet</w:t>
      </w:r>
      <w:proofErr w:type="spellEnd"/>
      <w:r w:rsidR="00E25E65">
        <w:rPr>
          <w:rFonts w:ascii="Arial" w:hAnsi="Arial" w:cs="Arial"/>
          <w:sz w:val="24"/>
          <w:szCs w:val="24"/>
          <w:lang w:val="en-US"/>
        </w:rPr>
        <w:t>,</w:t>
      </w:r>
      <w:r w:rsidR="00055237" w:rsidRPr="00E0724E">
        <w:rPr>
          <w:rFonts w:ascii="Arial" w:hAnsi="Arial" w:cs="Arial"/>
          <w:sz w:val="24"/>
          <w:szCs w:val="24"/>
          <w:lang w:val="en-US"/>
        </w:rPr>
        <w:t xml:space="preserve"> 2019</w:t>
      </w:r>
      <w:r w:rsidR="00055237">
        <w:rPr>
          <w:rFonts w:ascii="Arial" w:hAnsi="Arial" w:cs="Arial"/>
          <w:sz w:val="24"/>
          <w:szCs w:val="24"/>
          <w:lang w:val="en-US"/>
        </w:rPr>
        <w:t>b</w:t>
      </w:r>
      <w:r w:rsidRPr="00055237">
        <w:rPr>
          <w:rFonts w:ascii="Arial" w:hAnsi="Arial" w:cs="Arial"/>
          <w:sz w:val="24"/>
          <w:szCs w:val="24"/>
          <w:lang w:val="en-US"/>
        </w:rPr>
        <w:t>)</w:t>
      </w:r>
      <w:r w:rsidRPr="0031262C">
        <w:rPr>
          <w:rFonts w:ascii="Arial" w:hAnsi="Arial" w:cs="Arial"/>
          <w:sz w:val="24"/>
          <w:szCs w:val="24"/>
          <w:lang w:val="en-US"/>
        </w:rPr>
        <w:t xml:space="preserve">. Thus, an overall increase in median processing times could be expected, based on the recent changes in the distribution of suspects with regard to the types of crime they have committed. </w:t>
      </w:r>
    </w:p>
    <w:p w:rsidR="00B177E1" w:rsidRPr="004127D9" w:rsidRDefault="00334AFB" w:rsidP="00845EDF">
      <w:pPr>
        <w:pStyle w:val="Rubrik1"/>
        <w:numPr>
          <w:ilvl w:val="0"/>
          <w:numId w:val="3"/>
        </w:numPr>
        <w:spacing w:before="360" w:line="360" w:lineRule="auto"/>
        <w:ind w:left="357" w:hanging="357"/>
        <w:rPr>
          <w:rFonts w:ascii="Arial" w:hAnsi="Arial" w:cs="Arial"/>
          <w:color w:val="auto"/>
          <w:sz w:val="24"/>
          <w:szCs w:val="24"/>
          <w:lang w:val="en-US"/>
        </w:rPr>
      </w:pPr>
      <w:r>
        <w:rPr>
          <w:rFonts w:ascii="Arial" w:hAnsi="Arial" w:cs="Arial"/>
          <w:color w:val="auto"/>
          <w:sz w:val="24"/>
          <w:szCs w:val="24"/>
          <w:lang w:val="en-US"/>
        </w:rPr>
        <w:t>Conclusion</w:t>
      </w:r>
    </w:p>
    <w:p w:rsidR="007D0A03" w:rsidRDefault="00334AFB" w:rsidP="007D0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Arial" w:eastAsia="Times New Roman" w:hAnsi="Arial" w:cs="Arial"/>
          <w:sz w:val="24"/>
          <w:szCs w:val="24"/>
          <w:lang w:val="en" w:eastAsia="sv-SE"/>
        </w:rPr>
      </w:pPr>
      <w:r>
        <w:rPr>
          <w:rFonts w:ascii="Arial" w:eastAsia="Times New Roman" w:hAnsi="Arial" w:cs="Arial"/>
          <w:sz w:val="24"/>
          <w:szCs w:val="24"/>
          <w:lang w:val="en" w:eastAsia="sv-SE"/>
        </w:rPr>
        <w:t>In this</w:t>
      </w:r>
      <w:r w:rsidRPr="00334AFB">
        <w:rPr>
          <w:rFonts w:ascii="Arial" w:eastAsia="Times New Roman" w:hAnsi="Arial" w:cs="Arial"/>
          <w:sz w:val="24"/>
          <w:szCs w:val="24"/>
          <w:lang w:val="en" w:eastAsia="sv-SE"/>
        </w:rPr>
        <w:t xml:space="preserve"> paper, a new generation of crime statistics</w:t>
      </w:r>
      <w:r>
        <w:rPr>
          <w:rFonts w:ascii="Arial" w:eastAsia="Times New Roman" w:hAnsi="Arial" w:cs="Arial"/>
          <w:sz w:val="24"/>
          <w:szCs w:val="24"/>
          <w:lang w:val="en" w:eastAsia="sv-SE"/>
        </w:rPr>
        <w:t xml:space="preserve"> is presented</w:t>
      </w:r>
      <w:r w:rsidRPr="00334AFB">
        <w:rPr>
          <w:rFonts w:ascii="Arial" w:eastAsia="Times New Roman" w:hAnsi="Arial" w:cs="Arial"/>
          <w:sz w:val="24"/>
          <w:szCs w:val="24"/>
          <w:lang w:val="en" w:eastAsia="sv-SE"/>
        </w:rPr>
        <w:t xml:space="preserve">. The new statistics respond mainly to the need </w:t>
      </w:r>
      <w:r w:rsidR="0037148A">
        <w:rPr>
          <w:rFonts w:ascii="Arial" w:eastAsia="Times New Roman" w:hAnsi="Arial" w:cs="Arial"/>
          <w:sz w:val="24"/>
          <w:szCs w:val="24"/>
          <w:lang w:val="en" w:eastAsia="sv-SE"/>
        </w:rPr>
        <w:t xml:space="preserve">expressed </w:t>
      </w:r>
      <w:r w:rsidRPr="00334AFB">
        <w:rPr>
          <w:rFonts w:ascii="Arial" w:eastAsia="Times New Roman" w:hAnsi="Arial" w:cs="Arial"/>
          <w:sz w:val="24"/>
          <w:szCs w:val="24"/>
          <w:lang w:val="en" w:eastAsia="sv-SE"/>
        </w:rPr>
        <w:t>by the users, to follow</w:t>
      </w:r>
      <w:r w:rsidR="00F16F9B">
        <w:rPr>
          <w:rFonts w:ascii="Arial" w:eastAsia="Times New Roman" w:hAnsi="Arial" w:cs="Arial"/>
          <w:sz w:val="24"/>
          <w:szCs w:val="24"/>
          <w:lang w:val="en" w:eastAsia="sv-SE"/>
        </w:rPr>
        <w:t xml:space="preserve"> up</w:t>
      </w:r>
      <w:r w:rsidRPr="00334AFB">
        <w:rPr>
          <w:rFonts w:ascii="Arial" w:eastAsia="Times New Roman" w:hAnsi="Arial" w:cs="Arial"/>
          <w:sz w:val="24"/>
          <w:szCs w:val="24"/>
          <w:lang w:val="en" w:eastAsia="sv-SE"/>
        </w:rPr>
        <w:t xml:space="preserve">, analyze and monitor the activities of the </w:t>
      </w:r>
      <w:r>
        <w:rPr>
          <w:rFonts w:ascii="Arial" w:eastAsia="Times New Roman" w:hAnsi="Arial" w:cs="Arial"/>
          <w:sz w:val="24"/>
          <w:szCs w:val="24"/>
          <w:lang w:val="en" w:eastAsia="sv-SE"/>
        </w:rPr>
        <w:t xml:space="preserve">criminal </w:t>
      </w:r>
      <w:r w:rsidRPr="00334AFB">
        <w:rPr>
          <w:rFonts w:ascii="Arial" w:eastAsia="Times New Roman" w:hAnsi="Arial" w:cs="Arial"/>
          <w:sz w:val="24"/>
          <w:szCs w:val="24"/>
          <w:lang w:val="en" w:eastAsia="sv-SE"/>
        </w:rPr>
        <w:t>ju</w:t>
      </w:r>
      <w:r>
        <w:rPr>
          <w:rFonts w:ascii="Arial" w:eastAsia="Times New Roman" w:hAnsi="Arial" w:cs="Arial"/>
          <w:sz w:val="24"/>
          <w:szCs w:val="24"/>
          <w:lang w:val="en" w:eastAsia="sv-SE"/>
        </w:rPr>
        <w:t>stice</w:t>
      </w:r>
      <w:r w:rsidRPr="00334AFB">
        <w:rPr>
          <w:rFonts w:ascii="Arial" w:eastAsia="Times New Roman" w:hAnsi="Arial" w:cs="Arial"/>
          <w:sz w:val="24"/>
          <w:szCs w:val="24"/>
          <w:lang w:val="en" w:eastAsia="sv-SE"/>
        </w:rPr>
        <w:t xml:space="preserve"> system as a whole. </w:t>
      </w:r>
      <w:r w:rsidR="001070EB" w:rsidRPr="00BE6788">
        <w:rPr>
          <w:rFonts w:ascii="Arial" w:eastAsia="Times New Roman" w:hAnsi="Arial" w:cs="Arial"/>
          <w:sz w:val="24"/>
          <w:szCs w:val="24"/>
          <w:lang w:val="en" w:eastAsia="sv-SE"/>
        </w:rPr>
        <w:t>The results presented in this paper are a subset of comprehensive statistical tables</w:t>
      </w:r>
      <w:r>
        <w:rPr>
          <w:rFonts w:ascii="Arial" w:eastAsia="Times New Roman" w:hAnsi="Arial" w:cs="Arial"/>
          <w:sz w:val="24"/>
          <w:szCs w:val="24"/>
          <w:lang w:val="en" w:eastAsia="sv-SE"/>
        </w:rPr>
        <w:t xml:space="preserve">, where it is possible to follow all crime suspects handled a given year through the process, irrespective of </w:t>
      </w:r>
      <w:r w:rsidR="007D0A03" w:rsidRPr="0031262C">
        <w:rPr>
          <w:rFonts w:ascii="Arial" w:hAnsi="Arial" w:cs="Arial"/>
          <w:sz w:val="24"/>
          <w:szCs w:val="24"/>
          <w:lang w:val="en-US"/>
        </w:rPr>
        <w:t xml:space="preserve">whether </w:t>
      </w:r>
      <w:r w:rsidR="007D0A03">
        <w:rPr>
          <w:rFonts w:ascii="Arial" w:hAnsi="Arial" w:cs="Arial"/>
          <w:sz w:val="24"/>
          <w:szCs w:val="24"/>
          <w:lang w:val="en-US"/>
        </w:rPr>
        <w:t xml:space="preserve">the suspects have been handled by </w:t>
      </w:r>
      <w:r w:rsidR="007D0A03" w:rsidRPr="0031262C">
        <w:rPr>
          <w:rFonts w:ascii="Arial" w:hAnsi="Arial" w:cs="Arial"/>
          <w:sz w:val="24"/>
          <w:szCs w:val="24"/>
          <w:lang w:val="en-US"/>
        </w:rPr>
        <w:t>the police or the prosecutor</w:t>
      </w:r>
      <w:r>
        <w:rPr>
          <w:rFonts w:ascii="Arial" w:eastAsia="Times New Roman" w:hAnsi="Arial" w:cs="Arial"/>
          <w:sz w:val="24"/>
          <w:szCs w:val="24"/>
          <w:lang w:val="en" w:eastAsia="sv-SE"/>
        </w:rPr>
        <w:t xml:space="preserve">. The statistics show the decisions the suspects have been subject to, the processing times and the number of suspects still under process </w:t>
      </w:r>
      <w:r w:rsidR="0037148A">
        <w:rPr>
          <w:rFonts w:ascii="Arial" w:eastAsia="Times New Roman" w:hAnsi="Arial" w:cs="Arial"/>
          <w:sz w:val="24"/>
          <w:szCs w:val="24"/>
          <w:lang w:val="en" w:eastAsia="sv-SE"/>
        </w:rPr>
        <w:t>at</w:t>
      </w:r>
      <w:r>
        <w:rPr>
          <w:rFonts w:ascii="Arial" w:eastAsia="Times New Roman" w:hAnsi="Arial" w:cs="Arial"/>
          <w:sz w:val="24"/>
          <w:szCs w:val="24"/>
          <w:lang w:val="en" w:eastAsia="sv-SE"/>
        </w:rPr>
        <w:t xml:space="preserve"> the end of the year. </w:t>
      </w:r>
    </w:p>
    <w:p w:rsidR="007D0A03" w:rsidRPr="00BE6788" w:rsidRDefault="009C30A5" w:rsidP="007D0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Arial" w:eastAsia="Times New Roman" w:hAnsi="Arial" w:cs="Arial"/>
          <w:sz w:val="20"/>
          <w:szCs w:val="20"/>
          <w:lang w:val="en" w:eastAsia="sv-SE"/>
        </w:rPr>
      </w:pPr>
      <w:r>
        <w:rPr>
          <w:rFonts w:ascii="Arial" w:eastAsia="Times New Roman" w:hAnsi="Arial" w:cs="Arial"/>
          <w:sz w:val="24"/>
          <w:szCs w:val="24"/>
          <w:lang w:val="en" w:eastAsia="sv-SE"/>
        </w:rPr>
        <w:lastRenderedPageBreak/>
        <w:t xml:space="preserve">In the feedback we have </w:t>
      </w:r>
      <w:r w:rsidR="00AA6BD6">
        <w:rPr>
          <w:rFonts w:ascii="Arial" w:eastAsia="Times New Roman" w:hAnsi="Arial" w:cs="Arial"/>
          <w:sz w:val="24"/>
          <w:szCs w:val="24"/>
          <w:lang w:val="en" w:eastAsia="sv-SE"/>
        </w:rPr>
        <w:t xml:space="preserve">received </w:t>
      </w:r>
      <w:r>
        <w:rPr>
          <w:rFonts w:ascii="Arial" w:eastAsia="Times New Roman" w:hAnsi="Arial" w:cs="Arial"/>
          <w:sz w:val="24"/>
          <w:szCs w:val="24"/>
          <w:lang w:val="en" w:eastAsia="sv-SE"/>
        </w:rPr>
        <w:t xml:space="preserve">on the new statistics, the users have expressed that they find the results relevant and innovative, but, due to inherent complexity, sometimes difficult to interpret in terms of quality or efficiency. In order to improve </w:t>
      </w:r>
      <w:r w:rsidR="0037148A">
        <w:rPr>
          <w:rFonts w:ascii="Arial" w:eastAsia="Times New Roman" w:hAnsi="Arial" w:cs="Arial"/>
          <w:sz w:val="24"/>
          <w:szCs w:val="24"/>
          <w:lang w:val="en" w:eastAsia="sv-SE"/>
        </w:rPr>
        <w:t>relevance</w:t>
      </w:r>
      <w:r>
        <w:rPr>
          <w:rFonts w:ascii="Arial" w:eastAsia="Times New Roman" w:hAnsi="Arial" w:cs="Arial"/>
          <w:sz w:val="24"/>
          <w:szCs w:val="24"/>
          <w:lang w:val="en" w:eastAsia="sv-SE"/>
        </w:rPr>
        <w:t xml:space="preserve"> and accessibility, the</w:t>
      </w:r>
      <w:r w:rsidR="007D0A03" w:rsidRPr="007D0A03">
        <w:rPr>
          <w:rFonts w:ascii="Arial" w:eastAsia="Times New Roman" w:hAnsi="Arial" w:cs="Arial"/>
          <w:sz w:val="24"/>
          <w:szCs w:val="24"/>
          <w:lang w:val="en" w:eastAsia="sv-SE"/>
        </w:rPr>
        <w:t xml:space="preserve"> next step in the project is therefore </w:t>
      </w:r>
      <w:r w:rsidR="00040D8B">
        <w:rPr>
          <w:rFonts w:ascii="Arial" w:eastAsia="Times New Roman" w:hAnsi="Arial" w:cs="Arial"/>
          <w:sz w:val="24"/>
          <w:szCs w:val="24"/>
          <w:lang w:val="en" w:eastAsia="sv-SE"/>
        </w:rPr>
        <w:t>to</w:t>
      </w:r>
      <w:r w:rsidR="007D0A03" w:rsidRPr="007D0A03">
        <w:rPr>
          <w:rFonts w:ascii="Arial" w:eastAsia="Times New Roman" w:hAnsi="Arial" w:cs="Arial"/>
          <w:sz w:val="24"/>
          <w:szCs w:val="24"/>
          <w:lang w:val="en" w:eastAsia="sv-SE"/>
        </w:rPr>
        <w:t xml:space="preserve"> develop new indicators or sets of indicators</w:t>
      </w:r>
      <w:r>
        <w:rPr>
          <w:rFonts w:ascii="Arial" w:eastAsia="Times New Roman" w:hAnsi="Arial" w:cs="Arial"/>
          <w:sz w:val="24"/>
          <w:szCs w:val="24"/>
          <w:lang w:val="en" w:eastAsia="sv-SE"/>
        </w:rPr>
        <w:t xml:space="preserve"> based on the results in the statistical tables. T</w:t>
      </w:r>
      <w:r w:rsidR="00040D8B">
        <w:rPr>
          <w:rFonts w:ascii="Arial" w:eastAsia="Times New Roman" w:hAnsi="Arial" w:cs="Arial"/>
          <w:sz w:val="24"/>
          <w:szCs w:val="24"/>
          <w:lang w:val="en" w:eastAsia="sv-SE"/>
        </w:rPr>
        <w:t>he purpose of</w:t>
      </w:r>
      <w:r w:rsidR="007D0A03" w:rsidRPr="007D0A03">
        <w:rPr>
          <w:rFonts w:ascii="Arial" w:eastAsia="Times New Roman" w:hAnsi="Arial" w:cs="Arial"/>
          <w:sz w:val="24"/>
          <w:szCs w:val="24"/>
          <w:lang w:val="en" w:eastAsia="sv-SE"/>
        </w:rPr>
        <w:t xml:space="preserve"> </w:t>
      </w:r>
      <w:r>
        <w:rPr>
          <w:rFonts w:ascii="Arial" w:eastAsia="Times New Roman" w:hAnsi="Arial" w:cs="Arial"/>
          <w:sz w:val="24"/>
          <w:szCs w:val="24"/>
          <w:lang w:val="en" w:eastAsia="sv-SE"/>
        </w:rPr>
        <w:t>the indicators is</w:t>
      </w:r>
      <w:r w:rsidR="0037148A">
        <w:rPr>
          <w:rFonts w:ascii="Arial" w:eastAsia="Times New Roman" w:hAnsi="Arial" w:cs="Arial"/>
          <w:sz w:val="24"/>
          <w:szCs w:val="24"/>
          <w:lang w:val="en" w:eastAsia="sv-SE"/>
        </w:rPr>
        <w:t xml:space="preserve"> primarily </w:t>
      </w:r>
      <w:r>
        <w:rPr>
          <w:rFonts w:ascii="Arial" w:eastAsia="Times New Roman" w:hAnsi="Arial" w:cs="Arial"/>
          <w:sz w:val="24"/>
          <w:szCs w:val="24"/>
          <w:lang w:val="en" w:eastAsia="sv-SE"/>
        </w:rPr>
        <w:t>to comp</w:t>
      </w:r>
      <w:r w:rsidR="00AA6BD6">
        <w:rPr>
          <w:rFonts w:ascii="Arial" w:eastAsia="Times New Roman" w:hAnsi="Arial" w:cs="Arial"/>
          <w:sz w:val="24"/>
          <w:szCs w:val="24"/>
          <w:lang w:val="en" w:eastAsia="sv-SE"/>
        </w:rPr>
        <w:t xml:space="preserve">lement the </w:t>
      </w:r>
      <w:r w:rsidR="0037148A">
        <w:rPr>
          <w:rFonts w:ascii="Arial" w:eastAsia="Times New Roman" w:hAnsi="Arial" w:cs="Arial"/>
          <w:sz w:val="24"/>
          <w:szCs w:val="24"/>
          <w:lang w:val="en" w:eastAsia="sv-SE"/>
        </w:rPr>
        <w:t xml:space="preserve">new </w:t>
      </w:r>
      <w:r w:rsidR="00AA6BD6">
        <w:rPr>
          <w:rFonts w:ascii="Arial" w:eastAsia="Times New Roman" w:hAnsi="Arial" w:cs="Arial"/>
          <w:sz w:val="24"/>
          <w:szCs w:val="24"/>
          <w:lang w:val="en" w:eastAsia="sv-SE"/>
        </w:rPr>
        <w:t xml:space="preserve">statistics </w:t>
      </w:r>
      <w:r w:rsidR="0037148A">
        <w:rPr>
          <w:rFonts w:ascii="Arial" w:eastAsia="Times New Roman" w:hAnsi="Arial" w:cs="Arial"/>
          <w:sz w:val="24"/>
          <w:szCs w:val="24"/>
          <w:lang w:val="en" w:eastAsia="sv-SE"/>
        </w:rPr>
        <w:t>in order to further</w:t>
      </w:r>
      <w:r w:rsidR="00040D8B">
        <w:rPr>
          <w:rFonts w:ascii="Arial" w:eastAsia="Times New Roman" w:hAnsi="Arial" w:cs="Arial"/>
          <w:sz w:val="24"/>
          <w:szCs w:val="24"/>
          <w:lang w:val="en" w:eastAsia="sv-SE"/>
        </w:rPr>
        <w:t xml:space="preserve"> facilitat</w:t>
      </w:r>
      <w:r w:rsidR="0037148A">
        <w:rPr>
          <w:rFonts w:ascii="Arial" w:eastAsia="Times New Roman" w:hAnsi="Arial" w:cs="Arial"/>
          <w:sz w:val="24"/>
          <w:szCs w:val="24"/>
          <w:lang w:val="en" w:eastAsia="sv-SE"/>
        </w:rPr>
        <w:t>e</w:t>
      </w:r>
      <w:r w:rsidR="007D0A03" w:rsidRPr="007D0A03">
        <w:rPr>
          <w:rFonts w:ascii="Arial" w:eastAsia="Times New Roman" w:hAnsi="Arial" w:cs="Arial"/>
          <w:sz w:val="24"/>
          <w:szCs w:val="24"/>
          <w:lang w:val="en" w:eastAsia="sv-SE"/>
        </w:rPr>
        <w:t xml:space="preserve"> better decision making and </w:t>
      </w:r>
      <w:r w:rsidR="00040D8B">
        <w:rPr>
          <w:rFonts w:ascii="Arial" w:eastAsia="Times New Roman" w:hAnsi="Arial" w:cs="Arial"/>
          <w:sz w:val="24"/>
          <w:szCs w:val="24"/>
          <w:lang w:val="en" w:eastAsia="sv-SE"/>
        </w:rPr>
        <w:t>provid</w:t>
      </w:r>
      <w:r w:rsidR="0037148A">
        <w:rPr>
          <w:rFonts w:ascii="Arial" w:eastAsia="Times New Roman" w:hAnsi="Arial" w:cs="Arial"/>
          <w:sz w:val="24"/>
          <w:szCs w:val="24"/>
          <w:lang w:val="en" w:eastAsia="sv-SE"/>
        </w:rPr>
        <w:t>e</w:t>
      </w:r>
      <w:r w:rsidR="007D0A03" w:rsidRPr="007D0A03">
        <w:rPr>
          <w:rFonts w:ascii="Arial" w:eastAsia="Times New Roman" w:hAnsi="Arial" w:cs="Arial"/>
          <w:sz w:val="24"/>
          <w:szCs w:val="24"/>
          <w:lang w:val="en" w:eastAsia="sv-SE"/>
        </w:rPr>
        <w:t xml:space="preserve"> reliable tool</w:t>
      </w:r>
      <w:r w:rsidR="00040D8B">
        <w:rPr>
          <w:rFonts w:ascii="Arial" w:eastAsia="Times New Roman" w:hAnsi="Arial" w:cs="Arial"/>
          <w:sz w:val="24"/>
          <w:szCs w:val="24"/>
          <w:lang w:val="en" w:eastAsia="sv-SE"/>
        </w:rPr>
        <w:t>s for follow</w:t>
      </w:r>
      <w:r w:rsidR="007D0A03" w:rsidRPr="007D0A03">
        <w:rPr>
          <w:rFonts w:ascii="Arial" w:eastAsia="Times New Roman" w:hAnsi="Arial" w:cs="Arial"/>
          <w:sz w:val="24"/>
          <w:szCs w:val="24"/>
          <w:lang w:val="en" w:eastAsia="sv-SE"/>
        </w:rPr>
        <w:t xml:space="preserve"> up </w:t>
      </w:r>
      <w:r w:rsidR="00040D8B">
        <w:rPr>
          <w:rFonts w:ascii="Arial" w:eastAsia="Times New Roman" w:hAnsi="Arial" w:cs="Arial"/>
          <w:sz w:val="24"/>
          <w:szCs w:val="24"/>
          <w:lang w:val="en" w:eastAsia="sv-SE"/>
        </w:rPr>
        <w:t>of</w:t>
      </w:r>
      <w:r w:rsidR="007D0A03" w:rsidRPr="007D0A03">
        <w:rPr>
          <w:rFonts w:ascii="Arial" w:eastAsia="Times New Roman" w:hAnsi="Arial" w:cs="Arial"/>
          <w:sz w:val="24"/>
          <w:szCs w:val="24"/>
          <w:lang w:val="en" w:eastAsia="sv-SE"/>
        </w:rPr>
        <w:t xml:space="preserve"> </w:t>
      </w:r>
      <w:r w:rsidR="0037148A">
        <w:rPr>
          <w:rFonts w:ascii="Arial" w:eastAsia="Times New Roman" w:hAnsi="Arial" w:cs="Arial"/>
          <w:sz w:val="24"/>
          <w:szCs w:val="24"/>
          <w:lang w:val="en" w:eastAsia="sv-SE"/>
        </w:rPr>
        <w:t xml:space="preserve">the </w:t>
      </w:r>
      <w:r w:rsidR="007D0A03" w:rsidRPr="007D0A03">
        <w:rPr>
          <w:rFonts w:ascii="Arial" w:eastAsia="Times New Roman" w:hAnsi="Arial" w:cs="Arial"/>
          <w:sz w:val="24"/>
          <w:szCs w:val="24"/>
          <w:lang w:val="en" w:eastAsia="sv-SE"/>
        </w:rPr>
        <w:t xml:space="preserve">activities </w:t>
      </w:r>
      <w:r w:rsidR="00040D8B">
        <w:rPr>
          <w:rFonts w:ascii="Arial" w:eastAsia="Times New Roman" w:hAnsi="Arial" w:cs="Arial"/>
          <w:sz w:val="24"/>
          <w:szCs w:val="24"/>
          <w:lang w:val="en" w:eastAsia="sv-SE"/>
        </w:rPr>
        <w:t>in</w:t>
      </w:r>
      <w:r w:rsidR="007D0A03" w:rsidRPr="007D0A03">
        <w:rPr>
          <w:rFonts w:ascii="Arial" w:eastAsia="Times New Roman" w:hAnsi="Arial" w:cs="Arial"/>
          <w:sz w:val="24"/>
          <w:szCs w:val="24"/>
          <w:lang w:val="en" w:eastAsia="sv-SE"/>
        </w:rPr>
        <w:t xml:space="preserve"> the </w:t>
      </w:r>
      <w:r w:rsidR="00040D8B">
        <w:rPr>
          <w:rFonts w:ascii="Arial" w:eastAsia="Times New Roman" w:hAnsi="Arial" w:cs="Arial"/>
          <w:sz w:val="24"/>
          <w:szCs w:val="24"/>
          <w:lang w:val="en" w:eastAsia="sv-SE"/>
        </w:rPr>
        <w:t xml:space="preserve">criminal </w:t>
      </w:r>
      <w:r w:rsidR="007D0A03" w:rsidRPr="007D0A03">
        <w:rPr>
          <w:rFonts w:ascii="Arial" w:eastAsia="Times New Roman" w:hAnsi="Arial" w:cs="Arial"/>
          <w:sz w:val="24"/>
          <w:szCs w:val="24"/>
          <w:lang w:val="en" w:eastAsia="sv-SE"/>
        </w:rPr>
        <w:t>justice system. The starting point will be to begin by analyzing the state of knowledge, as well as identifying a framework that can be used as a reference</w:t>
      </w:r>
      <w:r w:rsidR="00040D8B">
        <w:rPr>
          <w:rFonts w:ascii="Arial" w:eastAsia="Times New Roman" w:hAnsi="Arial" w:cs="Arial"/>
          <w:sz w:val="24"/>
          <w:szCs w:val="24"/>
          <w:lang w:val="en" w:eastAsia="sv-SE"/>
        </w:rPr>
        <w:t>,</w:t>
      </w:r>
      <w:r w:rsidR="007D0A03" w:rsidRPr="007D0A03">
        <w:rPr>
          <w:rFonts w:ascii="Arial" w:eastAsia="Times New Roman" w:hAnsi="Arial" w:cs="Arial"/>
          <w:sz w:val="24"/>
          <w:szCs w:val="24"/>
          <w:lang w:val="en" w:eastAsia="sv-SE"/>
        </w:rPr>
        <w:t xml:space="preserve"> and available statistical methods.</w:t>
      </w:r>
    </w:p>
    <w:p w:rsidR="006B1F86" w:rsidRPr="00324BFB" w:rsidRDefault="003D118F" w:rsidP="006B1F86">
      <w:pPr>
        <w:spacing w:before="360" w:after="0" w:line="360" w:lineRule="auto"/>
        <w:jc w:val="both"/>
        <w:rPr>
          <w:rFonts w:ascii="Arial" w:hAnsi="Arial" w:cs="Arial"/>
          <w:b/>
          <w:sz w:val="24"/>
          <w:szCs w:val="24"/>
          <w:lang w:val="sv-SE"/>
        </w:rPr>
      </w:pPr>
      <w:r w:rsidRPr="00324BFB">
        <w:rPr>
          <w:rFonts w:ascii="Arial" w:hAnsi="Arial" w:cs="Arial"/>
          <w:b/>
          <w:sz w:val="24"/>
          <w:szCs w:val="24"/>
          <w:lang w:val="sv-SE"/>
        </w:rPr>
        <w:t>6</w:t>
      </w:r>
      <w:r w:rsidR="006B1F86" w:rsidRPr="00324BFB">
        <w:rPr>
          <w:rFonts w:ascii="Arial" w:hAnsi="Arial" w:cs="Arial"/>
          <w:b/>
          <w:sz w:val="24"/>
          <w:szCs w:val="24"/>
          <w:lang w:val="sv-SE"/>
        </w:rPr>
        <w:t xml:space="preserve">. </w:t>
      </w:r>
      <w:proofErr w:type="spellStart"/>
      <w:r w:rsidR="006B1F86" w:rsidRPr="00324BFB">
        <w:rPr>
          <w:rFonts w:ascii="Arial" w:hAnsi="Arial" w:cs="Arial"/>
          <w:b/>
          <w:sz w:val="24"/>
          <w:szCs w:val="24"/>
          <w:lang w:val="sv-SE"/>
        </w:rPr>
        <w:t>References</w:t>
      </w:r>
      <w:proofErr w:type="spellEnd"/>
    </w:p>
    <w:p w:rsidR="00E0724E" w:rsidRPr="00E0724E" w:rsidRDefault="00E0724E" w:rsidP="00E25E65">
      <w:pPr>
        <w:spacing w:before="120" w:after="0" w:line="360" w:lineRule="auto"/>
        <w:rPr>
          <w:rFonts w:ascii="Arial" w:hAnsi="Arial" w:cs="Arial"/>
          <w:sz w:val="24"/>
          <w:szCs w:val="24"/>
        </w:rPr>
      </w:pPr>
      <w:r w:rsidRPr="00E0724E">
        <w:rPr>
          <w:rFonts w:ascii="Arial" w:hAnsi="Arial" w:cs="Arial"/>
          <w:sz w:val="24"/>
          <w:szCs w:val="24"/>
        </w:rPr>
        <w:t>B</w:t>
      </w:r>
      <w:r>
        <w:rPr>
          <w:rFonts w:ascii="Arial" w:hAnsi="Arial" w:cs="Arial"/>
          <w:sz w:val="24"/>
          <w:szCs w:val="24"/>
        </w:rPr>
        <w:t>ring T</w:t>
      </w:r>
      <w:r w:rsidRPr="00E0724E">
        <w:rPr>
          <w:rFonts w:ascii="Arial" w:hAnsi="Arial" w:cs="Arial"/>
          <w:sz w:val="24"/>
          <w:szCs w:val="24"/>
        </w:rPr>
        <w:t xml:space="preserve">. and </w:t>
      </w:r>
      <w:r>
        <w:rPr>
          <w:rFonts w:ascii="Arial" w:hAnsi="Arial" w:cs="Arial"/>
          <w:sz w:val="24"/>
          <w:szCs w:val="24"/>
        </w:rPr>
        <w:t>Diesen</w:t>
      </w:r>
      <w:r w:rsidRPr="00E0724E">
        <w:rPr>
          <w:rFonts w:ascii="Arial" w:hAnsi="Arial" w:cs="Arial"/>
          <w:sz w:val="24"/>
          <w:szCs w:val="24"/>
        </w:rPr>
        <w:t xml:space="preserve"> </w:t>
      </w:r>
      <w:r>
        <w:rPr>
          <w:rFonts w:ascii="Arial" w:hAnsi="Arial" w:cs="Arial"/>
          <w:sz w:val="24"/>
          <w:szCs w:val="24"/>
        </w:rPr>
        <w:t>C. (2009</w:t>
      </w:r>
      <w:r w:rsidRPr="00E0724E">
        <w:rPr>
          <w:rFonts w:ascii="Arial" w:hAnsi="Arial" w:cs="Arial"/>
          <w:sz w:val="24"/>
          <w:szCs w:val="24"/>
        </w:rPr>
        <w:t xml:space="preserve">), </w:t>
      </w:r>
      <w:r>
        <w:rPr>
          <w:rFonts w:ascii="Arial" w:hAnsi="Arial" w:cs="Arial"/>
          <w:sz w:val="24"/>
          <w:szCs w:val="24"/>
        </w:rPr>
        <w:t>Förundersökning</w:t>
      </w:r>
      <w:r w:rsidRPr="00E0724E">
        <w:rPr>
          <w:rFonts w:ascii="Arial" w:hAnsi="Arial" w:cs="Arial"/>
          <w:sz w:val="24"/>
          <w:szCs w:val="24"/>
        </w:rPr>
        <w:t xml:space="preserve">, Norstedts juridik, </w:t>
      </w:r>
      <w:r>
        <w:rPr>
          <w:rFonts w:ascii="Arial" w:hAnsi="Arial" w:cs="Arial"/>
          <w:sz w:val="24"/>
          <w:szCs w:val="24"/>
        </w:rPr>
        <w:t>Stockholm</w:t>
      </w:r>
      <w:r w:rsidRPr="00E0724E">
        <w:rPr>
          <w:rFonts w:ascii="Arial" w:hAnsi="Arial" w:cs="Arial"/>
          <w:sz w:val="24"/>
          <w:szCs w:val="24"/>
        </w:rPr>
        <w:t>.</w:t>
      </w:r>
    </w:p>
    <w:p w:rsidR="00206D10" w:rsidRDefault="00206D10" w:rsidP="00C32447">
      <w:pPr>
        <w:spacing w:before="120" w:after="0" w:line="360" w:lineRule="auto"/>
        <w:rPr>
          <w:rFonts w:ascii="Arial" w:hAnsi="Arial" w:cs="Arial"/>
          <w:sz w:val="24"/>
          <w:szCs w:val="24"/>
          <w:lang w:val="sv-SE"/>
        </w:rPr>
      </w:pPr>
      <w:r w:rsidRPr="00206D10">
        <w:rPr>
          <w:rFonts w:ascii="Arial" w:hAnsi="Arial" w:cs="Arial"/>
          <w:sz w:val="24"/>
          <w:szCs w:val="24"/>
          <w:lang w:val="sv-SE"/>
        </w:rPr>
        <w:t>Brottsförebyggande rådet. (20</w:t>
      </w:r>
      <w:r>
        <w:rPr>
          <w:rFonts w:ascii="Arial" w:hAnsi="Arial" w:cs="Arial"/>
          <w:sz w:val="24"/>
          <w:szCs w:val="24"/>
          <w:lang w:val="sv-SE"/>
        </w:rPr>
        <w:t>13</w:t>
      </w:r>
      <w:r w:rsidR="00055237">
        <w:rPr>
          <w:rFonts w:ascii="Arial" w:hAnsi="Arial" w:cs="Arial"/>
          <w:sz w:val="24"/>
          <w:szCs w:val="24"/>
          <w:lang w:val="sv-SE"/>
        </w:rPr>
        <w:t>a</w:t>
      </w:r>
      <w:r w:rsidRPr="00206D10">
        <w:rPr>
          <w:rFonts w:ascii="Arial" w:hAnsi="Arial" w:cs="Arial"/>
          <w:sz w:val="24"/>
          <w:szCs w:val="24"/>
          <w:lang w:val="sv-SE"/>
        </w:rPr>
        <w:t xml:space="preserve">), Verksamhetsplan </w:t>
      </w:r>
      <w:r>
        <w:rPr>
          <w:rFonts w:ascii="Arial" w:hAnsi="Arial" w:cs="Arial"/>
          <w:sz w:val="24"/>
          <w:szCs w:val="24"/>
          <w:lang w:val="sv-SE"/>
        </w:rPr>
        <w:t>2013</w:t>
      </w:r>
      <w:r w:rsidRPr="00206D10">
        <w:rPr>
          <w:rFonts w:ascii="Arial" w:hAnsi="Arial" w:cs="Arial"/>
          <w:sz w:val="24"/>
          <w:szCs w:val="24"/>
          <w:lang w:val="sv-SE"/>
        </w:rPr>
        <w:t xml:space="preserve">, </w:t>
      </w:r>
      <w:r>
        <w:rPr>
          <w:rFonts w:ascii="Arial" w:hAnsi="Arial" w:cs="Arial"/>
          <w:sz w:val="24"/>
          <w:szCs w:val="24"/>
          <w:lang w:val="sv-SE"/>
        </w:rPr>
        <w:t>Brottsförebyggande rådet</w:t>
      </w:r>
      <w:r w:rsidRPr="00206D10">
        <w:rPr>
          <w:rFonts w:ascii="Arial" w:hAnsi="Arial" w:cs="Arial"/>
          <w:sz w:val="24"/>
          <w:szCs w:val="24"/>
          <w:lang w:val="sv-SE"/>
        </w:rPr>
        <w:t xml:space="preserve">, Stockholm.  </w:t>
      </w:r>
    </w:p>
    <w:p w:rsidR="002276CE" w:rsidRPr="00E0724E" w:rsidRDefault="002276CE" w:rsidP="00C32447">
      <w:pPr>
        <w:spacing w:before="120" w:after="0" w:line="360" w:lineRule="auto"/>
        <w:rPr>
          <w:rFonts w:ascii="Arial" w:hAnsi="Arial" w:cs="Arial"/>
          <w:sz w:val="24"/>
          <w:szCs w:val="24"/>
          <w:lang w:val="en-US"/>
        </w:rPr>
      </w:pPr>
      <w:r w:rsidRPr="00206D10">
        <w:rPr>
          <w:rFonts w:ascii="Arial" w:hAnsi="Arial" w:cs="Arial"/>
          <w:sz w:val="24"/>
          <w:szCs w:val="24"/>
          <w:lang w:val="sv-SE"/>
        </w:rPr>
        <w:t>Brottsförebyggande rådet. (20</w:t>
      </w:r>
      <w:r>
        <w:rPr>
          <w:rFonts w:ascii="Arial" w:hAnsi="Arial" w:cs="Arial"/>
          <w:sz w:val="24"/>
          <w:szCs w:val="24"/>
          <w:lang w:val="sv-SE"/>
        </w:rPr>
        <w:t>13</w:t>
      </w:r>
      <w:r w:rsidR="00055237">
        <w:rPr>
          <w:rFonts w:ascii="Arial" w:hAnsi="Arial" w:cs="Arial"/>
          <w:sz w:val="24"/>
          <w:szCs w:val="24"/>
          <w:lang w:val="sv-SE"/>
        </w:rPr>
        <w:t>b</w:t>
      </w:r>
      <w:r w:rsidRPr="00206D10">
        <w:rPr>
          <w:rFonts w:ascii="Arial" w:hAnsi="Arial" w:cs="Arial"/>
          <w:sz w:val="24"/>
          <w:szCs w:val="24"/>
          <w:lang w:val="sv-SE"/>
        </w:rPr>
        <w:t xml:space="preserve">), </w:t>
      </w:r>
      <w:r>
        <w:rPr>
          <w:rFonts w:ascii="Arial" w:hAnsi="Arial" w:cs="Arial"/>
          <w:sz w:val="24"/>
          <w:szCs w:val="24"/>
          <w:lang w:val="sv-SE"/>
        </w:rPr>
        <w:t>Målgruppsanpassning av statistiken</w:t>
      </w:r>
      <w:r w:rsidRPr="00206D10">
        <w:rPr>
          <w:rFonts w:ascii="Arial" w:hAnsi="Arial" w:cs="Arial"/>
          <w:sz w:val="24"/>
          <w:szCs w:val="24"/>
          <w:lang w:val="sv-SE"/>
        </w:rPr>
        <w:t xml:space="preserve">, </w:t>
      </w:r>
      <w:r>
        <w:rPr>
          <w:rFonts w:ascii="Arial" w:hAnsi="Arial" w:cs="Arial"/>
          <w:sz w:val="24"/>
          <w:szCs w:val="24"/>
          <w:lang w:val="sv-SE"/>
        </w:rPr>
        <w:t>Brottsförebyggande rådet</w:t>
      </w:r>
      <w:r w:rsidRPr="00206D10">
        <w:rPr>
          <w:rFonts w:ascii="Arial" w:hAnsi="Arial" w:cs="Arial"/>
          <w:sz w:val="24"/>
          <w:szCs w:val="24"/>
          <w:lang w:val="sv-SE"/>
        </w:rPr>
        <w:t xml:space="preserve">, Stockholm. </w:t>
      </w:r>
      <w:r w:rsidR="00E0724E" w:rsidRPr="00E0724E">
        <w:rPr>
          <w:rFonts w:ascii="Arial" w:hAnsi="Arial" w:cs="Arial"/>
          <w:sz w:val="24"/>
          <w:szCs w:val="24"/>
          <w:lang w:val="en-US"/>
        </w:rPr>
        <w:t xml:space="preserve">Available at: </w:t>
      </w:r>
      <w:r w:rsidRPr="00E0724E">
        <w:rPr>
          <w:rFonts w:ascii="Arial" w:hAnsi="Arial" w:cs="Arial"/>
          <w:sz w:val="24"/>
          <w:szCs w:val="24"/>
          <w:lang w:val="en-US"/>
        </w:rPr>
        <w:t xml:space="preserve"> </w:t>
      </w:r>
      <w:hyperlink r:id="rId20" w:history="1">
        <w:r w:rsidR="00E0724E" w:rsidRPr="00055237">
          <w:rPr>
            <w:rStyle w:val="Hyperlnk"/>
            <w:rFonts w:ascii="Arial" w:hAnsi="Arial" w:cs="Arial"/>
            <w:sz w:val="24"/>
            <w:szCs w:val="24"/>
            <w:lang w:val="en-US"/>
          </w:rPr>
          <w:t>https://www.bra.se/download/18.421a6a7d13def01048a80003328/1371914718172/2013_M%C3%A5lgruppsanpassning_av_kriminalstatistiken.pdf</w:t>
        </w:r>
      </w:hyperlink>
      <w:r w:rsidR="00055237">
        <w:rPr>
          <w:rFonts w:ascii="Arial" w:hAnsi="Arial" w:cs="Arial"/>
          <w:sz w:val="24"/>
          <w:szCs w:val="24"/>
          <w:lang w:val="en-US"/>
        </w:rPr>
        <w:t xml:space="preserve"> </w:t>
      </w:r>
      <w:r w:rsidR="00055237">
        <w:rPr>
          <w:rFonts w:ascii="Arial" w:hAnsi="Arial" w:cs="Arial"/>
          <w:sz w:val="24"/>
          <w:szCs w:val="24"/>
          <w:lang w:val="en-GB"/>
        </w:rPr>
        <w:t>(Accessed: 10 May 2019).</w:t>
      </w:r>
    </w:p>
    <w:p w:rsidR="00055237" w:rsidRPr="00E0724E" w:rsidRDefault="00E0724E" w:rsidP="00C32447">
      <w:pPr>
        <w:spacing w:before="120" w:after="0" w:line="360" w:lineRule="auto"/>
        <w:rPr>
          <w:rFonts w:ascii="Arial" w:hAnsi="Arial" w:cs="Arial"/>
          <w:sz w:val="24"/>
          <w:szCs w:val="24"/>
          <w:lang w:val="en-US"/>
        </w:rPr>
      </w:pPr>
      <w:r w:rsidRPr="00206D10">
        <w:rPr>
          <w:rFonts w:ascii="Arial" w:hAnsi="Arial" w:cs="Arial"/>
          <w:sz w:val="24"/>
          <w:szCs w:val="24"/>
          <w:lang w:val="sv-SE"/>
        </w:rPr>
        <w:t>Brottsförebyggande rådet. (20</w:t>
      </w:r>
      <w:r>
        <w:rPr>
          <w:rFonts w:ascii="Arial" w:hAnsi="Arial" w:cs="Arial"/>
          <w:sz w:val="24"/>
          <w:szCs w:val="24"/>
          <w:lang w:val="sv-SE"/>
        </w:rPr>
        <w:t>19</w:t>
      </w:r>
      <w:r w:rsidR="00055237">
        <w:rPr>
          <w:rFonts w:ascii="Arial" w:hAnsi="Arial" w:cs="Arial"/>
          <w:sz w:val="24"/>
          <w:szCs w:val="24"/>
          <w:lang w:val="sv-SE"/>
        </w:rPr>
        <w:t>a</w:t>
      </w:r>
      <w:r w:rsidRPr="00206D10">
        <w:rPr>
          <w:rFonts w:ascii="Arial" w:hAnsi="Arial" w:cs="Arial"/>
          <w:sz w:val="24"/>
          <w:szCs w:val="24"/>
          <w:lang w:val="sv-SE"/>
        </w:rPr>
        <w:t xml:space="preserve">), </w:t>
      </w:r>
      <w:r>
        <w:rPr>
          <w:rFonts w:ascii="Arial" w:hAnsi="Arial" w:cs="Arial"/>
          <w:sz w:val="24"/>
          <w:szCs w:val="24"/>
          <w:lang w:val="sv-SE"/>
        </w:rPr>
        <w:t>Anmälda brott</w:t>
      </w:r>
      <w:r w:rsidRPr="00206D10">
        <w:rPr>
          <w:rFonts w:ascii="Arial" w:hAnsi="Arial" w:cs="Arial"/>
          <w:sz w:val="24"/>
          <w:szCs w:val="24"/>
          <w:lang w:val="sv-SE"/>
        </w:rPr>
        <w:t xml:space="preserve"> </w:t>
      </w:r>
      <w:r>
        <w:rPr>
          <w:rFonts w:ascii="Arial" w:hAnsi="Arial" w:cs="Arial"/>
          <w:sz w:val="24"/>
          <w:szCs w:val="24"/>
          <w:lang w:val="sv-SE"/>
        </w:rPr>
        <w:t>2018</w:t>
      </w:r>
      <w:r w:rsidRPr="00206D10">
        <w:rPr>
          <w:rFonts w:ascii="Arial" w:hAnsi="Arial" w:cs="Arial"/>
          <w:sz w:val="24"/>
          <w:szCs w:val="24"/>
          <w:lang w:val="sv-SE"/>
        </w:rPr>
        <w:t xml:space="preserve">, </w:t>
      </w:r>
      <w:r>
        <w:rPr>
          <w:rFonts w:ascii="Arial" w:hAnsi="Arial" w:cs="Arial"/>
          <w:sz w:val="24"/>
          <w:szCs w:val="24"/>
          <w:lang w:val="sv-SE"/>
        </w:rPr>
        <w:t>Brottsförebyggande rådet</w:t>
      </w:r>
      <w:r w:rsidRPr="00206D10">
        <w:rPr>
          <w:rFonts w:ascii="Arial" w:hAnsi="Arial" w:cs="Arial"/>
          <w:sz w:val="24"/>
          <w:szCs w:val="24"/>
          <w:lang w:val="sv-SE"/>
        </w:rPr>
        <w:t xml:space="preserve">, Stockholm.  </w:t>
      </w:r>
      <w:r w:rsidR="00055237" w:rsidRPr="00E0724E">
        <w:rPr>
          <w:rFonts w:ascii="Arial" w:hAnsi="Arial" w:cs="Arial"/>
          <w:sz w:val="24"/>
          <w:szCs w:val="24"/>
          <w:lang w:val="en-US"/>
        </w:rPr>
        <w:t xml:space="preserve">Available at:  </w:t>
      </w:r>
      <w:hyperlink r:id="rId21" w:history="1">
        <w:r w:rsidR="00055237" w:rsidRPr="00055237">
          <w:rPr>
            <w:rStyle w:val="Hyperlnk"/>
            <w:rFonts w:ascii="Arial" w:hAnsi="Arial" w:cs="Arial"/>
            <w:sz w:val="24"/>
            <w:szCs w:val="24"/>
            <w:lang w:val="en-US"/>
          </w:rPr>
          <w:t>https://www.bra.se/download/18.62c6cfa2166eca5d70e4fb6/1553761868570/Sammanfattning_anmalda_2018.pdf</w:t>
        </w:r>
      </w:hyperlink>
      <w:r w:rsidR="00055237">
        <w:rPr>
          <w:rFonts w:ascii="Arial" w:hAnsi="Arial" w:cs="Arial"/>
          <w:sz w:val="24"/>
          <w:szCs w:val="24"/>
          <w:lang w:val="en-US"/>
        </w:rPr>
        <w:t xml:space="preserve"> </w:t>
      </w:r>
      <w:r w:rsidR="00055237">
        <w:rPr>
          <w:rFonts w:ascii="Arial" w:hAnsi="Arial" w:cs="Arial"/>
          <w:sz w:val="24"/>
          <w:szCs w:val="24"/>
          <w:lang w:val="en-GB"/>
        </w:rPr>
        <w:t>(Accessed: 10 May 2019).</w:t>
      </w:r>
    </w:p>
    <w:p w:rsidR="00055237" w:rsidRDefault="00055237" w:rsidP="00C32447">
      <w:pPr>
        <w:spacing w:before="120" w:after="0" w:line="360" w:lineRule="auto"/>
        <w:rPr>
          <w:rFonts w:ascii="Arial" w:hAnsi="Arial" w:cs="Arial"/>
          <w:sz w:val="24"/>
          <w:szCs w:val="24"/>
          <w:lang w:val="en-GB"/>
        </w:rPr>
      </w:pPr>
      <w:r w:rsidRPr="00206D10">
        <w:rPr>
          <w:rFonts w:ascii="Arial" w:hAnsi="Arial" w:cs="Arial"/>
          <w:sz w:val="24"/>
          <w:szCs w:val="24"/>
          <w:lang w:val="sv-SE"/>
        </w:rPr>
        <w:t>Brottsförebyggande rådet. (20</w:t>
      </w:r>
      <w:r>
        <w:rPr>
          <w:rFonts w:ascii="Arial" w:hAnsi="Arial" w:cs="Arial"/>
          <w:sz w:val="24"/>
          <w:szCs w:val="24"/>
          <w:lang w:val="sv-SE"/>
        </w:rPr>
        <w:t>19b</w:t>
      </w:r>
      <w:r w:rsidRPr="00206D10">
        <w:rPr>
          <w:rFonts w:ascii="Arial" w:hAnsi="Arial" w:cs="Arial"/>
          <w:sz w:val="24"/>
          <w:szCs w:val="24"/>
          <w:lang w:val="sv-SE"/>
        </w:rPr>
        <w:t xml:space="preserve">), </w:t>
      </w:r>
      <w:r w:rsidRPr="00055237">
        <w:rPr>
          <w:rFonts w:ascii="Arial" w:hAnsi="Arial" w:cs="Arial"/>
          <w:sz w:val="24"/>
          <w:szCs w:val="24"/>
          <w:lang w:val="sv-SE"/>
        </w:rPr>
        <w:t>Genomströmningstider för brottsmisstankar i brottmålsprocessen 2017</w:t>
      </w:r>
      <w:r w:rsidRPr="00206D10">
        <w:rPr>
          <w:rFonts w:ascii="Arial" w:hAnsi="Arial" w:cs="Arial"/>
          <w:sz w:val="24"/>
          <w:szCs w:val="24"/>
          <w:lang w:val="sv-SE"/>
        </w:rPr>
        <w:t xml:space="preserve">, </w:t>
      </w:r>
      <w:r>
        <w:rPr>
          <w:rFonts w:ascii="Arial" w:hAnsi="Arial" w:cs="Arial"/>
          <w:sz w:val="24"/>
          <w:szCs w:val="24"/>
          <w:lang w:val="sv-SE"/>
        </w:rPr>
        <w:t>Brottsförebyggande rådet</w:t>
      </w:r>
      <w:r w:rsidRPr="00206D10">
        <w:rPr>
          <w:rFonts w:ascii="Arial" w:hAnsi="Arial" w:cs="Arial"/>
          <w:sz w:val="24"/>
          <w:szCs w:val="24"/>
          <w:lang w:val="sv-SE"/>
        </w:rPr>
        <w:t xml:space="preserve">, Stockholm.  </w:t>
      </w:r>
      <w:r w:rsidRPr="00E0724E">
        <w:rPr>
          <w:rFonts w:ascii="Arial" w:hAnsi="Arial" w:cs="Arial"/>
          <w:sz w:val="24"/>
          <w:szCs w:val="24"/>
          <w:lang w:val="en-US"/>
        </w:rPr>
        <w:t xml:space="preserve">Available at:  </w:t>
      </w:r>
      <w:hyperlink r:id="rId22" w:history="1">
        <w:r w:rsidRPr="00055237">
          <w:rPr>
            <w:rStyle w:val="Hyperlnk"/>
            <w:rFonts w:ascii="Arial" w:hAnsi="Arial" w:cs="Arial"/>
            <w:sz w:val="24"/>
            <w:szCs w:val="24"/>
            <w:lang w:val="en-US"/>
          </w:rPr>
          <w:t>https://www.bra.se/download/18.62c6cfa2166eca5d70e5d77/1555318300186/Genomstr%C3%B6mningstider_f%C3%B6r_brottsmisstankar_i_brottm%C3%A5lsprocessen_2017.pdf</w:t>
        </w:r>
      </w:hyperlink>
      <w:r>
        <w:rPr>
          <w:rFonts w:ascii="Arial" w:hAnsi="Arial" w:cs="Arial"/>
          <w:sz w:val="24"/>
          <w:szCs w:val="24"/>
          <w:lang w:val="en-US"/>
        </w:rPr>
        <w:t xml:space="preserve"> </w:t>
      </w:r>
      <w:r>
        <w:rPr>
          <w:rFonts w:ascii="Arial" w:hAnsi="Arial" w:cs="Arial"/>
          <w:sz w:val="24"/>
          <w:szCs w:val="24"/>
          <w:lang w:val="en-GB"/>
        </w:rPr>
        <w:t>(Accessed: 10 May 2019).</w:t>
      </w:r>
    </w:p>
    <w:p w:rsidR="00B26859" w:rsidRPr="00E0724E" w:rsidRDefault="00B26859" w:rsidP="00C32447">
      <w:pPr>
        <w:spacing w:before="120" w:after="0" w:line="360" w:lineRule="auto"/>
        <w:rPr>
          <w:rFonts w:ascii="Arial" w:hAnsi="Arial" w:cs="Arial"/>
          <w:sz w:val="24"/>
          <w:szCs w:val="24"/>
          <w:lang w:val="en-US"/>
        </w:rPr>
      </w:pPr>
      <w:r w:rsidRPr="00206D10">
        <w:rPr>
          <w:rFonts w:ascii="Arial" w:hAnsi="Arial" w:cs="Arial"/>
          <w:sz w:val="24"/>
          <w:szCs w:val="24"/>
          <w:lang w:val="sv-SE"/>
        </w:rPr>
        <w:t>Brottsförebyggande rådet. (20</w:t>
      </w:r>
      <w:r>
        <w:rPr>
          <w:rFonts w:ascii="Arial" w:hAnsi="Arial" w:cs="Arial"/>
          <w:sz w:val="24"/>
          <w:szCs w:val="24"/>
          <w:lang w:val="sv-SE"/>
        </w:rPr>
        <w:t>19c</w:t>
      </w:r>
      <w:r w:rsidRPr="00206D10">
        <w:rPr>
          <w:rFonts w:ascii="Arial" w:hAnsi="Arial" w:cs="Arial"/>
          <w:sz w:val="24"/>
          <w:szCs w:val="24"/>
          <w:lang w:val="sv-SE"/>
        </w:rPr>
        <w:t xml:space="preserve">), </w:t>
      </w:r>
      <w:r w:rsidR="002B1447">
        <w:rPr>
          <w:rFonts w:ascii="Arial" w:hAnsi="Arial" w:cs="Arial"/>
          <w:sz w:val="24"/>
          <w:szCs w:val="24"/>
          <w:lang w:val="sv-SE"/>
        </w:rPr>
        <w:t xml:space="preserve">Handläggningsresultat </w:t>
      </w:r>
      <w:r w:rsidRPr="00055237">
        <w:rPr>
          <w:rFonts w:ascii="Arial" w:hAnsi="Arial" w:cs="Arial"/>
          <w:sz w:val="24"/>
          <w:szCs w:val="24"/>
          <w:lang w:val="sv-SE"/>
        </w:rPr>
        <w:t>för brottsmiss</w:t>
      </w:r>
      <w:r w:rsidR="002B1447">
        <w:rPr>
          <w:rFonts w:ascii="Arial" w:hAnsi="Arial" w:cs="Arial"/>
          <w:sz w:val="24"/>
          <w:szCs w:val="24"/>
          <w:lang w:val="sv-SE"/>
        </w:rPr>
        <w:t>tankar i brottmålsprocessen 2018</w:t>
      </w:r>
      <w:r w:rsidRPr="00206D10">
        <w:rPr>
          <w:rFonts w:ascii="Arial" w:hAnsi="Arial" w:cs="Arial"/>
          <w:sz w:val="24"/>
          <w:szCs w:val="24"/>
          <w:lang w:val="sv-SE"/>
        </w:rPr>
        <w:t xml:space="preserve">, </w:t>
      </w:r>
      <w:r>
        <w:rPr>
          <w:rFonts w:ascii="Arial" w:hAnsi="Arial" w:cs="Arial"/>
          <w:sz w:val="24"/>
          <w:szCs w:val="24"/>
          <w:lang w:val="sv-SE"/>
        </w:rPr>
        <w:t>Brottsförebyggande rådet</w:t>
      </w:r>
      <w:r w:rsidRPr="00206D10">
        <w:rPr>
          <w:rFonts w:ascii="Arial" w:hAnsi="Arial" w:cs="Arial"/>
          <w:sz w:val="24"/>
          <w:szCs w:val="24"/>
          <w:lang w:val="sv-SE"/>
        </w:rPr>
        <w:t xml:space="preserve">, Stockholm.  </w:t>
      </w:r>
      <w:r w:rsidRPr="00E0724E">
        <w:rPr>
          <w:rFonts w:ascii="Arial" w:hAnsi="Arial" w:cs="Arial"/>
          <w:sz w:val="24"/>
          <w:szCs w:val="24"/>
          <w:lang w:val="en-US"/>
        </w:rPr>
        <w:t xml:space="preserve">Available at:  </w:t>
      </w:r>
      <w:hyperlink r:id="rId23" w:history="1">
        <w:r w:rsidR="002B1447" w:rsidRPr="002B1447">
          <w:rPr>
            <w:rStyle w:val="Hyperlnk"/>
            <w:rFonts w:ascii="Arial" w:hAnsi="Arial" w:cs="Arial"/>
            <w:sz w:val="24"/>
            <w:szCs w:val="24"/>
          </w:rPr>
          <w:t>https://www.bra.se/download/18.62c6cfa2166eca5d70e5d75/1555318278335/Handl</w:t>
        </w:r>
        <w:r w:rsidR="002B1447" w:rsidRPr="002B1447">
          <w:rPr>
            <w:rStyle w:val="Hyperlnk"/>
            <w:rFonts w:ascii="Arial" w:hAnsi="Arial" w:cs="Arial"/>
            <w:sz w:val="24"/>
            <w:szCs w:val="24"/>
          </w:rPr>
          <w:lastRenderedPageBreak/>
          <w:t>%C3%A4ggningsresultat_f%C3%B6r_brottsmisstankar_i_brottm%C3%A5lsprocessen_2018.pdf</w:t>
        </w:r>
      </w:hyperlink>
      <w:r w:rsidRPr="002B1447">
        <w:rPr>
          <w:rFonts w:ascii="Arial" w:hAnsi="Arial" w:cs="Arial"/>
          <w:sz w:val="24"/>
          <w:szCs w:val="24"/>
          <w:lang w:val="en-US"/>
        </w:rPr>
        <w:t xml:space="preserve"> </w:t>
      </w:r>
      <w:r>
        <w:rPr>
          <w:rFonts w:ascii="Arial" w:hAnsi="Arial" w:cs="Arial"/>
          <w:sz w:val="24"/>
          <w:szCs w:val="24"/>
          <w:lang w:val="en-GB"/>
        </w:rPr>
        <w:t>(Accessed: 10 May 2019).</w:t>
      </w:r>
    </w:p>
    <w:p w:rsidR="00206D10" w:rsidRPr="006E13BE" w:rsidRDefault="00206D10" w:rsidP="00C32447">
      <w:pPr>
        <w:spacing w:before="120" w:after="0" w:line="360" w:lineRule="auto"/>
        <w:rPr>
          <w:rFonts w:ascii="Arial" w:hAnsi="Arial" w:cs="Arial"/>
          <w:sz w:val="24"/>
          <w:szCs w:val="24"/>
          <w:lang w:val="en-US"/>
        </w:rPr>
      </w:pPr>
      <w:r w:rsidRPr="00614F08">
        <w:rPr>
          <w:rFonts w:ascii="Arial" w:hAnsi="Arial" w:cs="Arial"/>
          <w:sz w:val="24"/>
          <w:szCs w:val="24"/>
          <w:lang w:val="sv-SE"/>
        </w:rPr>
        <w:t>Justitiedepartementet, Regeringsbeslut</w:t>
      </w:r>
      <w:r>
        <w:rPr>
          <w:rFonts w:ascii="Arial" w:hAnsi="Arial" w:cs="Arial"/>
          <w:sz w:val="24"/>
          <w:szCs w:val="24"/>
          <w:lang w:val="sv-SE"/>
        </w:rPr>
        <w:t xml:space="preserve"> </w:t>
      </w:r>
      <w:r w:rsidRPr="00614F08">
        <w:rPr>
          <w:rFonts w:ascii="Arial" w:hAnsi="Arial" w:cs="Arial"/>
          <w:sz w:val="24"/>
          <w:szCs w:val="24"/>
          <w:lang w:val="sv-SE"/>
        </w:rPr>
        <w:t xml:space="preserve">I:40. (2012), Regleringsbrev för budgetåret 2013 avseende Brottsförebyggande rådet. </w:t>
      </w:r>
      <w:r>
        <w:rPr>
          <w:rFonts w:ascii="Arial" w:hAnsi="Arial" w:cs="Arial"/>
          <w:sz w:val="24"/>
          <w:szCs w:val="24"/>
          <w:lang w:val="en-GB"/>
        </w:rPr>
        <w:t xml:space="preserve">Available at: </w:t>
      </w:r>
      <w:hyperlink r:id="rId24" w:history="1">
        <w:r>
          <w:rPr>
            <w:rStyle w:val="Hyperlnk"/>
            <w:rFonts w:ascii="Arial" w:hAnsi="Arial" w:cs="Arial"/>
            <w:sz w:val="24"/>
            <w:szCs w:val="24"/>
            <w:lang w:val="en-GB"/>
          </w:rPr>
          <w:t>https://www.esv.se/statsliggaren/regleringsbrev/?RBID=14592</w:t>
        </w:r>
      </w:hyperlink>
      <w:r>
        <w:rPr>
          <w:rFonts w:ascii="Arial" w:hAnsi="Arial" w:cs="Arial"/>
          <w:sz w:val="24"/>
          <w:szCs w:val="24"/>
          <w:lang w:val="en-US"/>
        </w:rPr>
        <w:t xml:space="preserve"> </w:t>
      </w:r>
      <w:r>
        <w:rPr>
          <w:rFonts w:ascii="Arial" w:hAnsi="Arial" w:cs="Arial"/>
          <w:sz w:val="24"/>
          <w:szCs w:val="24"/>
          <w:lang w:val="en-GB"/>
        </w:rPr>
        <w:t>(Accessed: 10 May 2019).</w:t>
      </w:r>
    </w:p>
    <w:p w:rsidR="006B1F86" w:rsidRPr="006E13BE" w:rsidRDefault="006E13BE" w:rsidP="00C32447">
      <w:pPr>
        <w:spacing w:before="120" w:after="0" w:line="360" w:lineRule="auto"/>
        <w:rPr>
          <w:rFonts w:ascii="Arial" w:hAnsi="Arial" w:cs="Arial"/>
          <w:sz w:val="24"/>
          <w:szCs w:val="24"/>
          <w:lang w:val="en-US"/>
        </w:rPr>
      </w:pPr>
      <w:proofErr w:type="spellStart"/>
      <w:proofErr w:type="gramStart"/>
      <w:r w:rsidRPr="00324BFB">
        <w:rPr>
          <w:rFonts w:ascii="Arial" w:hAnsi="Arial" w:cs="Arial"/>
          <w:sz w:val="24"/>
          <w:szCs w:val="24"/>
          <w:lang w:val="en-US"/>
        </w:rPr>
        <w:t>Justitiedepartementet</w:t>
      </w:r>
      <w:proofErr w:type="spellEnd"/>
      <w:r w:rsidR="006B1F86" w:rsidRPr="00324BFB">
        <w:rPr>
          <w:rFonts w:ascii="Arial" w:hAnsi="Arial" w:cs="Arial"/>
          <w:sz w:val="24"/>
          <w:szCs w:val="24"/>
          <w:lang w:val="en-US"/>
        </w:rPr>
        <w:t>.</w:t>
      </w:r>
      <w:proofErr w:type="gramEnd"/>
      <w:r w:rsidR="006B1F86" w:rsidRPr="00324BFB">
        <w:rPr>
          <w:rFonts w:ascii="Arial" w:hAnsi="Arial" w:cs="Arial"/>
          <w:sz w:val="24"/>
          <w:szCs w:val="24"/>
          <w:lang w:val="en-US"/>
        </w:rPr>
        <w:t xml:space="preserve"> </w:t>
      </w:r>
      <w:proofErr w:type="gramStart"/>
      <w:r w:rsidR="006B1F86" w:rsidRPr="006E13BE">
        <w:rPr>
          <w:rFonts w:ascii="Arial" w:hAnsi="Arial" w:cs="Arial"/>
          <w:sz w:val="24"/>
          <w:szCs w:val="24"/>
          <w:lang w:val="en-US"/>
        </w:rPr>
        <w:t>(20</w:t>
      </w:r>
      <w:r w:rsidRPr="006E13BE">
        <w:rPr>
          <w:rFonts w:ascii="Arial" w:hAnsi="Arial" w:cs="Arial"/>
          <w:sz w:val="24"/>
          <w:szCs w:val="24"/>
          <w:lang w:val="en-US"/>
        </w:rPr>
        <w:t>14</w:t>
      </w:r>
      <w:r w:rsidR="006B1F86" w:rsidRPr="006E13BE">
        <w:rPr>
          <w:rFonts w:ascii="Arial" w:hAnsi="Arial" w:cs="Arial"/>
          <w:sz w:val="24"/>
          <w:szCs w:val="24"/>
          <w:lang w:val="en-US"/>
        </w:rPr>
        <w:t xml:space="preserve">), </w:t>
      </w:r>
      <w:r w:rsidRPr="006E13BE">
        <w:rPr>
          <w:rFonts w:ascii="Arial" w:hAnsi="Arial" w:cs="Arial"/>
          <w:sz w:val="24"/>
          <w:szCs w:val="24"/>
          <w:lang w:val="en-US"/>
        </w:rPr>
        <w:t>A digitally joined-up judicial chain</w:t>
      </w:r>
      <w:r w:rsidR="006B1F86" w:rsidRPr="006E13BE">
        <w:rPr>
          <w:rFonts w:ascii="Arial" w:hAnsi="Arial" w:cs="Arial"/>
          <w:sz w:val="24"/>
          <w:szCs w:val="24"/>
          <w:lang w:val="en-US"/>
        </w:rPr>
        <w:t xml:space="preserve">, </w:t>
      </w:r>
      <w:proofErr w:type="spellStart"/>
      <w:r w:rsidRPr="006E13BE">
        <w:rPr>
          <w:rFonts w:ascii="Arial" w:hAnsi="Arial" w:cs="Arial"/>
          <w:sz w:val="24"/>
          <w:szCs w:val="24"/>
          <w:lang w:val="en-US"/>
        </w:rPr>
        <w:t>Regeringskansliet</w:t>
      </w:r>
      <w:proofErr w:type="spellEnd"/>
      <w:r w:rsidR="006B1F86" w:rsidRPr="006E13BE">
        <w:rPr>
          <w:rFonts w:ascii="Arial" w:hAnsi="Arial" w:cs="Arial"/>
          <w:sz w:val="24"/>
          <w:szCs w:val="24"/>
          <w:lang w:val="en-US"/>
        </w:rPr>
        <w:t xml:space="preserve">, </w:t>
      </w:r>
      <w:r w:rsidRPr="006E13BE">
        <w:rPr>
          <w:rFonts w:ascii="Arial" w:hAnsi="Arial" w:cs="Arial"/>
          <w:sz w:val="24"/>
          <w:szCs w:val="24"/>
          <w:lang w:val="en-US"/>
        </w:rPr>
        <w:t>Stockholm</w:t>
      </w:r>
      <w:r w:rsidR="006B1F86" w:rsidRPr="006E13BE">
        <w:rPr>
          <w:rFonts w:ascii="Arial" w:hAnsi="Arial" w:cs="Arial"/>
          <w:sz w:val="24"/>
          <w:szCs w:val="24"/>
          <w:lang w:val="en-US"/>
        </w:rPr>
        <w:t>.</w:t>
      </w:r>
      <w:proofErr w:type="gramEnd"/>
      <w:r w:rsidR="006B1F86" w:rsidRPr="006E13BE">
        <w:rPr>
          <w:rFonts w:ascii="Arial" w:hAnsi="Arial" w:cs="Arial"/>
          <w:sz w:val="24"/>
          <w:szCs w:val="24"/>
          <w:lang w:val="en-US"/>
        </w:rPr>
        <w:t xml:space="preserve"> </w:t>
      </w:r>
      <w:r>
        <w:rPr>
          <w:rFonts w:ascii="Arial" w:hAnsi="Arial" w:cs="Arial"/>
          <w:sz w:val="24"/>
          <w:szCs w:val="24"/>
          <w:lang w:val="en-GB"/>
        </w:rPr>
        <w:t xml:space="preserve">Available at: </w:t>
      </w:r>
      <w:hyperlink r:id="rId25" w:history="1">
        <w:r w:rsidRPr="006E13BE">
          <w:rPr>
            <w:rStyle w:val="Hyperlnk"/>
            <w:rFonts w:ascii="Arial" w:hAnsi="Arial" w:cs="Arial"/>
            <w:sz w:val="24"/>
            <w:szCs w:val="24"/>
            <w:lang w:val="en-US"/>
          </w:rPr>
          <w:t>https://www.regeringen.se/49bb7b/contentassets/0cc61bd4c5584be4a9f430ee05e226e2/a-digitally-joined-up-judicial-chain</w:t>
        </w:r>
      </w:hyperlink>
      <w:r>
        <w:rPr>
          <w:rFonts w:ascii="Arial" w:hAnsi="Arial" w:cs="Arial"/>
          <w:sz w:val="24"/>
          <w:szCs w:val="24"/>
          <w:lang w:val="en-US"/>
        </w:rPr>
        <w:t xml:space="preserve"> </w:t>
      </w:r>
      <w:r>
        <w:rPr>
          <w:rFonts w:ascii="Arial" w:hAnsi="Arial" w:cs="Arial"/>
          <w:sz w:val="24"/>
          <w:szCs w:val="24"/>
          <w:lang w:val="en-GB"/>
        </w:rPr>
        <w:t>(Accessed: 10 May 2019).</w:t>
      </w:r>
    </w:p>
    <w:sectPr w:rsidR="006B1F86" w:rsidRPr="006E13BE" w:rsidSect="0023623C">
      <w:headerReference w:type="even" r:id="rId26"/>
      <w:headerReference w:type="default" r:id="rId27"/>
      <w:footerReference w:type="default" r:id="rId28"/>
      <w:headerReference w:type="first" r:id="rId2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AF" w:rsidRDefault="00AA31AF" w:rsidP="00E82B25">
      <w:pPr>
        <w:spacing w:after="0" w:line="240" w:lineRule="auto"/>
      </w:pPr>
      <w:r>
        <w:separator/>
      </w:r>
    </w:p>
  </w:endnote>
  <w:endnote w:type="continuationSeparator" w:id="0">
    <w:p w:rsidR="00AA31AF" w:rsidRDefault="00AA31A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abon L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AA31AF" w:rsidRPr="009378F5" w:rsidRDefault="00AA31AF" w:rsidP="0035694D">
        <w:pPr>
          <w:pStyle w:val="Sidfo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04B77">
          <w:rPr>
            <w:rFonts w:ascii="Arial" w:hAnsi="Arial" w:cs="Arial"/>
            <w:noProof/>
            <w:sz w:val="24"/>
            <w:szCs w:val="24"/>
          </w:rPr>
          <w:t>5</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AF" w:rsidRDefault="00AA31AF" w:rsidP="00E82B25">
      <w:pPr>
        <w:spacing w:after="0" w:line="240" w:lineRule="auto"/>
      </w:pPr>
      <w:r>
        <w:separator/>
      </w:r>
    </w:p>
  </w:footnote>
  <w:footnote w:type="continuationSeparator" w:id="0">
    <w:p w:rsidR="00AA31AF" w:rsidRDefault="00AA31AF" w:rsidP="00E82B25">
      <w:pPr>
        <w:spacing w:after="0" w:line="240" w:lineRule="auto"/>
      </w:pPr>
      <w:r>
        <w:continuationSeparator/>
      </w:r>
    </w:p>
  </w:footnote>
  <w:footnote w:id="1">
    <w:p w:rsidR="00AA31AF" w:rsidRPr="00324BFB" w:rsidRDefault="00AA31AF">
      <w:pPr>
        <w:pStyle w:val="Fotnotstext"/>
        <w:rPr>
          <w:lang w:val="en-US"/>
        </w:rPr>
      </w:pPr>
      <w:r>
        <w:rPr>
          <w:rStyle w:val="Fotnotsreferens"/>
        </w:rPr>
        <w:footnoteRef/>
      </w:r>
      <w:r w:rsidRPr="00324BFB">
        <w:rPr>
          <w:rFonts w:ascii="Arial" w:hAnsi="Arial" w:cs="Arial"/>
          <w:lang w:val="en-US"/>
        </w:rPr>
        <w:t xml:space="preserve">All references used in this paper are either written in Swedish or published by Swedish authorities. For convenience reason, we consistently refer to the non-translated name of the authority </w:t>
      </w:r>
      <w:r>
        <w:rPr>
          <w:rFonts w:ascii="Arial" w:hAnsi="Arial" w:cs="Arial"/>
          <w:lang w:val="en-US"/>
        </w:rPr>
        <w:t>and</w:t>
      </w:r>
      <w:r w:rsidRPr="00324BFB">
        <w:rPr>
          <w:rFonts w:ascii="Arial" w:hAnsi="Arial" w:cs="Arial"/>
          <w:lang w:val="en-US"/>
        </w:rPr>
        <w:t xml:space="preserve"> title of the reference.</w:t>
      </w:r>
      <w:r>
        <w:rPr>
          <w:lang w:val="en-US"/>
        </w:rPr>
        <w:t xml:space="preserve"> </w:t>
      </w:r>
    </w:p>
  </w:footnote>
  <w:footnote w:id="2">
    <w:p w:rsidR="0037148A" w:rsidRPr="0037148A" w:rsidRDefault="0037148A">
      <w:pPr>
        <w:pStyle w:val="Fotnotstext"/>
        <w:rPr>
          <w:lang w:val="en-US"/>
        </w:rPr>
      </w:pPr>
      <w:r>
        <w:rPr>
          <w:rStyle w:val="Fotnotsreferens"/>
        </w:rPr>
        <w:footnoteRef/>
      </w:r>
      <w:r>
        <w:t>A crime suspect is the link between an offence and each person suspected of the offence. A crime suspect is not the same as a person, as a person can be suspected of more than one offence,</w:t>
      </w:r>
      <w:bookmarkStart w:id="0" w:name="_GoBack"/>
      <w:bookmarkEnd w:id="0"/>
      <w:r>
        <w:t xml:space="preserve"> and, thus, represent more than one crime suspect.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AF" w:rsidRDefault="00C04B77">
    <w:pPr>
      <w:pStyle w:val="Sidhuvud"/>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AF" w:rsidRPr="000B0921" w:rsidRDefault="00AA31AF" w:rsidP="000B0921">
    <w:pPr>
      <w:pStyle w:val="Sidhuvud"/>
      <w:tabs>
        <w:tab w:val="clear" w:pos="4536"/>
        <w:tab w:val="clear" w:pos="9072"/>
        <w:tab w:val="left" w:pos="3344"/>
      </w:tabs>
    </w:pPr>
    <w:r>
      <w:rPr>
        <w:noProof/>
        <w:lang w:val="sv-SE" w:eastAsia="sv-SE"/>
      </w:rPr>
      <w:drawing>
        <wp:inline distT="0" distB="0" distL="0" distR="0" wp14:anchorId="12B59F62" wp14:editId="5CB0386F">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AF" w:rsidRDefault="00C04B77">
    <w:pPr>
      <w:pStyle w:val="Sidhuvud"/>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C40"/>
    <w:multiLevelType w:val="hybridMultilevel"/>
    <w:tmpl w:val="8AD8F65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0D8B"/>
    <w:rsid w:val="00047C24"/>
    <w:rsid w:val="00055237"/>
    <w:rsid w:val="00070925"/>
    <w:rsid w:val="0007704A"/>
    <w:rsid w:val="00090401"/>
    <w:rsid w:val="000957CC"/>
    <w:rsid w:val="000A6D3C"/>
    <w:rsid w:val="000B0921"/>
    <w:rsid w:val="000B540D"/>
    <w:rsid w:val="000C61FC"/>
    <w:rsid w:val="000C6472"/>
    <w:rsid w:val="000D705A"/>
    <w:rsid w:val="000F337F"/>
    <w:rsid w:val="001070EB"/>
    <w:rsid w:val="0011262B"/>
    <w:rsid w:val="00114E8D"/>
    <w:rsid w:val="00133E07"/>
    <w:rsid w:val="00142A8D"/>
    <w:rsid w:val="00156AB3"/>
    <w:rsid w:val="00157DAD"/>
    <w:rsid w:val="00160406"/>
    <w:rsid w:val="00165F4E"/>
    <w:rsid w:val="0016743D"/>
    <w:rsid w:val="00182357"/>
    <w:rsid w:val="00193AA6"/>
    <w:rsid w:val="001B3041"/>
    <w:rsid w:val="001D1A3A"/>
    <w:rsid w:val="001D4E31"/>
    <w:rsid w:val="001D71EA"/>
    <w:rsid w:val="001E43DC"/>
    <w:rsid w:val="001F0FA6"/>
    <w:rsid w:val="00206D10"/>
    <w:rsid w:val="00221F17"/>
    <w:rsid w:val="002276CE"/>
    <w:rsid w:val="00234927"/>
    <w:rsid w:val="0023623C"/>
    <w:rsid w:val="00242620"/>
    <w:rsid w:val="00265994"/>
    <w:rsid w:val="0028150C"/>
    <w:rsid w:val="00282B53"/>
    <w:rsid w:val="00293580"/>
    <w:rsid w:val="002B1447"/>
    <w:rsid w:val="002B6D33"/>
    <w:rsid w:val="002D3714"/>
    <w:rsid w:val="00306EA0"/>
    <w:rsid w:val="0031262C"/>
    <w:rsid w:val="00324BFB"/>
    <w:rsid w:val="00334AFB"/>
    <w:rsid w:val="00335E1D"/>
    <w:rsid w:val="00336E21"/>
    <w:rsid w:val="0034772D"/>
    <w:rsid w:val="0035694D"/>
    <w:rsid w:val="00360AD0"/>
    <w:rsid w:val="00362815"/>
    <w:rsid w:val="0037148A"/>
    <w:rsid w:val="003A1D16"/>
    <w:rsid w:val="003D0235"/>
    <w:rsid w:val="003D118F"/>
    <w:rsid w:val="00412410"/>
    <w:rsid w:val="004127D9"/>
    <w:rsid w:val="004150F5"/>
    <w:rsid w:val="004626BE"/>
    <w:rsid w:val="004740F1"/>
    <w:rsid w:val="00493026"/>
    <w:rsid w:val="004A12A7"/>
    <w:rsid w:val="004A1A99"/>
    <w:rsid w:val="004B39C1"/>
    <w:rsid w:val="004B6729"/>
    <w:rsid w:val="004C5048"/>
    <w:rsid w:val="004F04B4"/>
    <w:rsid w:val="005215E8"/>
    <w:rsid w:val="00525E22"/>
    <w:rsid w:val="00530FD6"/>
    <w:rsid w:val="005812C5"/>
    <w:rsid w:val="005A1F57"/>
    <w:rsid w:val="005B6971"/>
    <w:rsid w:val="005D1F13"/>
    <w:rsid w:val="005F49A1"/>
    <w:rsid w:val="005F6882"/>
    <w:rsid w:val="006052BF"/>
    <w:rsid w:val="00614F08"/>
    <w:rsid w:val="00653D6C"/>
    <w:rsid w:val="00667788"/>
    <w:rsid w:val="00673F53"/>
    <w:rsid w:val="00686C41"/>
    <w:rsid w:val="0068746F"/>
    <w:rsid w:val="0069009D"/>
    <w:rsid w:val="00697934"/>
    <w:rsid w:val="006B1F86"/>
    <w:rsid w:val="006B5A4A"/>
    <w:rsid w:val="006C5879"/>
    <w:rsid w:val="006E13BE"/>
    <w:rsid w:val="0073562E"/>
    <w:rsid w:val="00741621"/>
    <w:rsid w:val="007730C4"/>
    <w:rsid w:val="00776C97"/>
    <w:rsid w:val="007B0D73"/>
    <w:rsid w:val="007B2114"/>
    <w:rsid w:val="007C0E37"/>
    <w:rsid w:val="007D0A03"/>
    <w:rsid w:val="007E6D8C"/>
    <w:rsid w:val="00800C9D"/>
    <w:rsid w:val="0082373C"/>
    <w:rsid w:val="00845BF9"/>
    <w:rsid w:val="00845EDF"/>
    <w:rsid w:val="00847C76"/>
    <w:rsid w:val="00867B2C"/>
    <w:rsid w:val="00873330"/>
    <w:rsid w:val="00883326"/>
    <w:rsid w:val="008A71D2"/>
    <w:rsid w:val="008B0935"/>
    <w:rsid w:val="008D44A9"/>
    <w:rsid w:val="008D56E1"/>
    <w:rsid w:val="008D6094"/>
    <w:rsid w:val="008F3F40"/>
    <w:rsid w:val="00902A7F"/>
    <w:rsid w:val="009378F5"/>
    <w:rsid w:val="00940582"/>
    <w:rsid w:val="00973B8D"/>
    <w:rsid w:val="009B0C0A"/>
    <w:rsid w:val="009C30A5"/>
    <w:rsid w:val="009E23D7"/>
    <w:rsid w:val="00A23816"/>
    <w:rsid w:val="00A454B6"/>
    <w:rsid w:val="00A531F2"/>
    <w:rsid w:val="00A6013E"/>
    <w:rsid w:val="00A66D96"/>
    <w:rsid w:val="00AA31AF"/>
    <w:rsid w:val="00AA6BD6"/>
    <w:rsid w:val="00AC406F"/>
    <w:rsid w:val="00AD1423"/>
    <w:rsid w:val="00AD4AEE"/>
    <w:rsid w:val="00B177E1"/>
    <w:rsid w:val="00B26859"/>
    <w:rsid w:val="00B47197"/>
    <w:rsid w:val="00B72169"/>
    <w:rsid w:val="00B74218"/>
    <w:rsid w:val="00B77A7F"/>
    <w:rsid w:val="00B86FC7"/>
    <w:rsid w:val="00B912C3"/>
    <w:rsid w:val="00BB19AC"/>
    <w:rsid w:val="00BB5A91"/>
    <w:rsid w:val="00BC26CE"/>
    <w:rsid w:val="00BD444B"/>
    <w:rsid w:val="00BE6788"/>
    <w:rsid w:val="00BF6DBC"/>
    <w:rsid w:val="00C01F47"/>
    <w:rsid w:val="00C04B77"/>
    <w:rsid w:val="00C16E8E"/>
    <w:rsid w:val="00C261EA"/>
    <w:rsid w:val="00C32447"/>
    <w:rsid w:val="00C40213"/>
    <w:rsid w:val="00C444A7"/>
    <w:rsid w:val="00C47B34"/>
    <w:rsid w:val="00C55909"/>
    <w:rsid w:val="00C726EA"/>
    <w:rsid w:val="00C74A1D"/>
    <w:rsid w:val="00C96571"/>
    <w:rsid w:val="00CB2B44"/>
    <w:rsid w:val="00CB4074"/>
    <w:rsid w:val="00CC1C1D"/>
    <w:rsid w:val="00CF33AD"/>
    <w:rsid w:val="00CF656A"/>
    <w:rsid w:val="00D01603"/>
    <w:rsid w:val="00D0258C"/>
    <w:rsid w:val="00D0270E"/>
    <w:rsid w:val="00D20550"/>
    <w:rsid w:val="00D3638C"/>
    <w:rsid w:val="00D52194"/>
    <w:rsid w:val="00D65C24"/>
    <w:rsid w:val="00D744EE"/>
    <w:rsid w:val="00DA50A8"/>
    <w:rsid w:val="00DA74F6"/>
    <w:rsid w:val="00DB4182"/>
    <w:rsid w:val="00DD4526"/>
    <w:rsid w:val="00DD4977"/>
    <w:rsid w:val="00DE01B4"/>
    <w:rsid w:val="00DF27A8"/>
    <w:rsid w:val="00DF43EA"/>
    <w:rsid w:val="00E0724E"/>
    <w:rsid w:val="00E25E65"/>
    <w:rsid w:val="00E261EB"/>
    <w:rsid w:val="00E7228E"/>
    <w:rsid w:val="00E82B25"/>
    <w:rsid w:val="00E87E75"/>
    <w:rsid w:val="00E92831"/>
    <w:rsid w:val="00E9313B"/>
    <w:rsid w:val="00EB7A63"/>
    <w:rsid w:val="00EC5F5A"/>
    <w:rsid w:val="00EE4A70"/>
    <w:rsid w:val="00F16F9B"/>
    <w:rsid w:val="00F30C27"/>
    <w:rsid w:val="00F51570"/>
    <w:rsid w:val="00F66BA9"/>
    <w:rsid w:val="00F74EA2"/>
    <w:rsid w:val="00FC5F70"/>
    <w:rsid w:val="00FD1BA3"/>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177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sv-SE"/>
    </w:rPr>
  </w:style>
  <w:style w:type="paragraph" w:styleId="Rubrik2">
    <w:name w:val="heading 2"/>
    <w:basedOn w:val="Normal"/>
    <w:next w:val="Normal"/>
    <w:link w:val="Rubrik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B4182"/>
    <w:rPr>
      <w:rFonts w:asciiTheme="majorHAnsi" w:eastAsiaTheme="majorEastAsia" w:hAnsiTheme="majorHAnsi" w:cstheme="majorBidi"/>
      <w:color w:val="2E74B5" w:themeColor="accent1" w:themeShade="BF"/>
      <w:sz w:val="26"/>
      <w:szCs w:val="26"/>
    </w:rPr>
  </w:style>
  <w:style w:type="table" w:styleId="Tabellrutnt">
    <w:name w:val="Table Grid"/>
    <w:basedOn w:val="Normaltabel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semiHidden/>
    <w:unhideWhenUsed/>
    <w:rsid w:val="00F30C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5"/>
    <w:unhideWhenUsed/>
    <w:qFormat/>
    <w:rsid w:val="00AD4AEE"/>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B418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B4182"/>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B4182"/>
    <w:rPr>
      <w:rFonts w:eastAsiaTheme="minorEastAsia"/>
      <w:color w:val="5A5A5A" w:themeColor="text1" w:themeTint="A5"/>
      <w:spacing w:val="15"/>
    </w:rPr>
  </w:style>
  <w:style w:type="character" w:customStyle="1" w:styleId="UnresolvedMention">
    <w:name w:val="Unresolved Mention"/>
    <w:basedOn w:val="Standardstycketeckensnitt"/>
    <w:uiPriority w:val="99"/>
    <w:semiHidden/>
    <w:unhideWhenUsed/>
    <w:rsid w:val="006B1F86"/>
    <w:rPr>
      <w:color w:val="605E5C"/>
      <w:shd w:val="clear" w:color="auto" w:fill="E1DFDD"/>
    </w:rPr>
  </w:style>
  <w:style w:type="paragraph" w:styleId="Liststycke">
    <w:name w:val="List Paragraph"/>
    <w:basedOn w:val="Normal"/>
    <w:uiPriority w:val="34"/>
    <w:qFormat/>
    <w:rsid w:val="00DF43EA"/>
    <w:pPr>
      <w:ind w:left="720"/>
      <w:contextualSpacing/>
    </w:pPr>
  </w:style>
  <w:style w:type="character" w:customStyle="1" w:styleId="Rubrik1Char">
    <w:name w:val="Rubrik 1 Char"/>
    <w:basedOn w:val="Standardstycketeckensnitt"/>
    <w:link w:val="Rubrik1"/>
    <w:uiPriority w:val="9"/>
    <w:rsid w:val="00B177E1"/>
    <w:rPr>
      <w:rFonts w:asciiTheme="majorHAnsi" w:eastAsiaTheme="majorEastAsia" w:hAnsiTheme="majorHAnsi" w:cstheme="majorBidi"/>
      <w:b/>
      <w:bCs/>
      <w:color w:val="2E74B5" w:themeColor="accent1" w:themeShade="BF"/>
      <w:sz w:val="28"/>
      <w:szCs w:val="28"/>
      <w:lang w:val="sv-SE"/>
    </w:rPr>
  </w:style>
  <w:style w:type="character" w:styleId="Betoning">
    <w:name w:val="Emphasis"/>
    <w:basedOn w:val="Standardstycketeckensnitt"/>
    <w:uiPriority w:val="20"/>
    <w:qFormat/>
    <w:rsid w:val="00B177E1"/>
    <w:rPr>
      <w:i/>
      <w:iCs/>
    </w:rPr>
  </w:style>
  <w:style w:type="paragraph" w:customStyle="1" w:styleId="Brdindrag">
    <w:name w:val="Bröd indrag"/>
    <w:basedOn w:val="Normal"/>
    <w:uiPriority w:val="1"/>
    <w:qFormat/>
    <w:rsid w:val="00B177E1"/>
    <w:pPr>
      <w:widowControl w:val="0"/>
      <w:tabs>
        <w:tab w:val="left" w:pos="170"/>
      </w:tabs>
      <w:spacing w:after="0" w:line="240" w:lineRule="auto"/>
      <w:ind w:firstLine="170"/>
      <w:jc w:val="both"/>
      <w:textboxTightWrap w:val="allLines"/>
    </w:pPr>
    <w:rPr>
      <w:rFonts w:ascii="Sabon LT" w:eastAsia="Times New Roman" w:hAnsi="Sabon LT" w:cs="Times New Roman"/>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177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sv-SE"/>
    </w:rPr>
  </w:style>
  <w:style w:type="paragraph" w:styleId="Rubrik2">
    <w:name w:val="heading 2"/>
    <w:basedOn w:val="Normal"/>
    <w:next w:val="Normal"/>
    <w:link w:val="Rubrik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B4182"/>
    <w:rPr>
      <w:rFonts w:asciiTheme="majorHAnsi" w:eastAsiaTheme="majorEastAsia" w:hAnsiTheme="majorHAnsi" w:cstheme="majorBidi"/>
      <w:color w:val="2E74B5" w:themeColor="accent1" w:themeShade="BF"/>
      <w:sz w:val="26"/>
      <w:szCs w:val="26"/>
    </w:rPr>
  </w:style>
  <w:style w:type="table" w:styleId="Tabellrutnt">
    <w:name w:val="Table Grid"/>
    <w:basedOn w:val="Normaltabel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semiHidden/>
    <w:unhideWhenUsed/>
    <w:rsid w:val="00F30C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5"/>
    <w:unhideWhenUsed/>
    <w:qFormat/>
    <w:rsid w:val="00AD4AEE"/>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B418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B4182"/>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B4182"/>
    <w:rPr>
      <w:rFonts w:eastAsiaTheme="minorEastAsia"/>
      <w:color w:val="5A5A5A" w:themeColor="text1" w:themeTint="A5"/>
      <w:spacing w:val="15"/>
    </w:rPr>
  </w:style>
  <w:style w:type="character" w:customStyle="1" w:styleId="UnresolvedMention">
    <w:name w:val="Unresolved Mention"/>
    <w:basedOn w:val="Standardstycketeckensnitt"/>
    <w:uiPriority w:val="99"/>
    <w:semiHidden/>
    <w:unhideWhenUsed/>
    <w:rsid w:val="006B1F86"/>
    <w:rPr>
      <w:color w:val="605E5C"/>
      <w:shd w:val="clear" w:color="auto" w:fill="E1DFDD"/>
    </w:rPr>
  </w:style>
  <w:style w:type="paragraph" w:styleId="Liststycke">
    <w:name w:val="List Paragraph"/>
    <w:basedOn w:val="Normal"/>
    <w:uiPriority w:val="34"/>
    <w:qFormat/>
    <w:rsid w:val="00DF43EA"/>
    <w:pPr>
      <w:ind w:left="720"/>
      <w:contextualSpacing/>
    </w:pPr>
  </w:style>
  <w:style w:type="character" w:customStyle="1" w:styleId="Rubrik1Char">
    <w:name w:val="Rubrik 1 Char"/>
    <w:basedOn w:val="Standardstycketeckensnitt"/>
    <w:link w:val="Rubrik1"/>
    <w:uiPriority w:val="9"/>
    <w:rsid w:val="00B177E1"/>
    <w:rPr>
      <w:rFonts w:asciiTheme="majorHAnsi" w:eastAsiaTheme="majorEastAsia" w:hAnsiTheme="majorHAnsi" w:cstheme="majorBidi"/>
      <w:b/>
      <w:bCs/>
      <w:color w:val="2E74B5" w:themeColor="accent1" w:themeShade="BF"/>
      <w:sz w:val="28"/>
      <w:szCs w:val="28"/>
      <w:lang w:val="sv-SE"/>
    </w:rPr>
  </w:style>
  <w:style w:type="character" w:styleId="Betoning">
    <w:name w:val="Emphasis"/>
    <w:basedOn w:val="Standardstycketeckensnitt"/>
    <w:uiPriority w:val="20"/>
    <w:qFormat/>
    <w:rsid w:val="00B177E1"/>
    <w:rPr>
      <w:i/>
      <w:iCs/>
    </w:rPr>
  </w:style>
  <w:style w:type="paragraph" w:customStyle="1" w:styleId="Brdindrag">
    <w:name w:val="Bröd indrag"/>
    <w:basedOn w:val="Normal"/>
    <w:uiPriority w:val="1"/>
    <w:qFormat/>
    <w:rsid w:val="00B177E1"/>
    <w:pPr>
      <w:widowControl w:val="0"/>
      <w:tabs>
        <w:tab w:val="left" w:pos="170"/>
      </w:tabs>
      <w:spacing w:after="0" w:line="240" w:lineRule="auto"/>
      <w:ind w:firstLine="170"/>
      <w:jc w:val="both"/>
      <w:textboxTightWrap w:val="allLines"/>
    </w:pPr>
    <w:rPr>
      <w:rFonts w:ascii="Sabon LT" w:eastAsia="Times New Roman" w:hAnsi="Sabon LT" w:cs="Times New Roman"/>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ra.se/download/18.62c6cfa2166eca5d70e4fb6/1553761868570/Sammanfattning_anmalda_2018.pdf"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hyperlink" Target="https://www.regeringen.se/49bb7b/contentassets/0cc61bd4c5584be4a9f430ee05e226e2/a-digitally-joined-up-judicial-chain" TargetMode="External"/><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hyperlink" Target="https://www.bra.se/download/18.421a6a7d13def01048a80003328/1371914718172/2013_M%C3%A5lgruppsanpassning_av_kriminalstatistiken.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www.esv.se/statsliggaren/regleringsbrev/?RBID=14592"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www.bra.se/download/18.62c6cfa2166eca5d70e5d75/1555318278335/Handl%C3%A4ggningsresultat_f%C3%B6r_brottsmisstankar_i_brottm%C3%A5lsprocessen_2018.pdf%20"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package" Target="embeddings/Microsoft_PowerPoint_Presentation5.pptx"/><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redrik.granstrom@bra.se" TargetMode="External"/><Relationship Id="rId14" Type="http://schemas.openxmlformats.org/officeDocument/2006/relationships/chart" Target="charts/chart3.xml"/><Relationship Id="rId22" Type="http://schemas.openxmlformats.org/officeDocument/2006/relationships/hyperlink" Target="https://www.bra.se/download/18.62c6cfa2166eca5d70e5d77/1555318300186/Genomstr%C3%B6mningstider_f%C3%B6r_brottsmisstankar_i_brottm%C3%A5lsprocessen_2017.pdf"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MAGNE\VOL1\DATA\BRA\FUR\FUR-team\GT-Produktion%202019\Arbetsmapp%202018-2019\Sara\box\BOXPLOT_REG_AKL.txt"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654980164925532E-2"/>
          <c:y val="6.0735884491462638E-2"/>
          <c:w val="0.89149166196266783"/>
          <c:h val="0.81056574027808892"/>
        </c:manualLayout>
      </c:layout>
      <c:barChart>
        <c:barDir val="col"/>
        <c:grouping val="clustered"/>
        <c:varyColors val="0"/>
        <c:ser>
          <c:idx val="0"/>
          <c:order val="0"/>
          <c:tx>
            <c:strRef>
              <c:f>BOXPLOT_REG_AKL!$I$2</c:f>
              <c:strCache>
                <c:ptCount val="1"/>
                <c:pt idx="0">
                  <c:v>Antal</c:v>
                </c:pt>
              </c:strCache>
            </c:strRef>
          </c:tx>
          <c:spPr>
            <a:solidFill>
              <a:schemeClr val="tx2"/>
            </a:solidFill>
          </c:spPr>
          <c:invertIfNegative val="0"/>
          <c:cat>
            <c:numRef>
              <c:f>BOXPLOT_REG_AKL!$H$3:$H$368</c:f>
              <c:numCache>
                <c:formatCode>General</c:formatCode>
                <c:ptCount val="3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numCache>
            </c:numRef>
          </c:cat>
          <c:val>
            <c:numRef>
              <c:f>BOXPLOT_REG_AKL!$I$3:$I$368</c:f>
              <c:numCache>
                <c:formatCode>General</c:formatCode>
                <c:ptCount val="366"/>
                <c:pt idx="0">
                  <c:v>1569</c:v>
                </c:pt>
                <c:pt idx="1">
                  <c:v>2903</c:v>
                </c:pt>
                <c:pt idx="2">
                  <c:v>2911</c:v>
                </c:pt>
                <c:pt idx="3">
                  <c:v>2273</c:v>
                </c:pt>
                <c:pt idx="4">
                  <c:v>2073</c:v>
                </c:pt>
                <c:pt idx="5">
                  <c:v>1788</c:v>
                </c:pt>
                <c:pt idx="6">
                  <c:v>2275</c:v>
                </c:pt>
                <c:pt idx="7">
                  <c:v>2004</c:v>
                </c:pt>
                <c:pt idx="8">
                  <c:v>1790</c:v>
                </c:pt>
                <c:pt idx="9">
                  <c:v>1703</c:v>
                </c:pt>
                <c:pt idx="10">
                  <c:v>1519</c:v>
                </c:pt>
                <c:pt idx="11">
                  <c:v>1404</c:v>
                </c:pt>
                <c:pt idx="12">
                  <c:v>1556</c:v>
                </c:pt>
                <c:pt idx="13">
                  <c:v>1737</c:v>
                </c:pt>
                <c:pt idx="14">
                  <c:v>1744</c:v>
                </c:pt>
                <c:pt idx="15">
                  <c:v>2185</c:v>
                </c:pt>
                <c:pt idx="16">
                  <c:v>1974</c:v>
                </c:pt>
                <c:pt idx="17">
                  <c:v>1677</c:v>
                </c:pt>
                <c:pt idx="18">
                  <c:v>1418</c:v>
                </c:pt>
                <c:pt idx="19">
                  <c:v>1729</c:v>
                </c:pt>
                <c:pt idx="20">
                  <c:v>1488</c:v>
                </c:pt>
                <c:pt idx="21">
                  <c:v>2290</c:v>
                </c:pt>
                <c:pt idx="22">
                  <c:v>1770</c:v>
                </c:pt>
                <c:pt idx="23">
                  <c:v>1884</c:v>
                </c:pt>
                <c:pt idx="24">
                  <c:v>1622</c:v>
                </c:pt>
                <c:pt idx="25">
                  <c:v>1392</c:v>
                </c:pt>
                <c:pt idx="26">
                  <c:v>1495</c:v>
                </c:pt>
                <c:pt idx="27">
                  <c:v>1616</c:v>
                </c:pt>
                <c:pt idx="28">
                  <c:v>1668</c:v>
                </c:pt>
                <c:pt idx="29">
                  <c:v>1539</c:v>
                </c:pt>
                <c:pt idx="30">
                  <c:v>1522</c:v>
                </c:pt>
                <c:pt idx="31">
                  <c:v>1524</c:v>
                </c:pt>
                <c:pt idx="32">
                  <c:v>1514</c:v>
                </c:pt>
                <c:pt idx="33">
                  <c:v>1712</c:v>
                </c:pt>
                <c:pt idx="34">
                  <c:v>1627</c:v>
                </c:pt>
                <c:pt idx="35">
                  <c:v>1622</c:v>
                </c:pt>
                <c:pt idx="36">
                  <c:v>1765</c:v>
                </c:pt>
                <c:pt idx="37">
                  <c:v>1436</c:v>
                </c:pt>
                <c:pt idx="38">
                  <c:v>1428</c:v>
                </c:pt>
                <c:pt idx="39">
                  <c:v>1417</c:v>
                </c:pt>
                <c:pt idx="40">
                  <c:v>1487</c:v>
                </c:pt>
                <c:pt idx="41">
                  <c:v>1500</c:v>
                </c:pt>
                <c:pt idx="42">
                  <c:v>1596</c:v>
                </c:pt>
                <c:pt idx="43">
                  <c:v>1521</c:v>
                </c:pt>
                <c:pt idx="44">
                  <c:v>1364</c:v>
                </c:pt>
                <c:pt idx="45">
                  <c:v>1446</c:v>
                </c:pt>
                <c:pt idx="46">
                  <c:v>1262</c:v>
                </c:pt>
                <c:pt idx="47">
                  <c:v>1348</c:v>
                </c:pt>
                <c:pt idx="48">
                  <c:v>1300</c:v>
                </c:pt>
                <c:pt idx="49">
                  <c:v>1377</c:v>
                </c:pt>
                <c:pt idx="50">
                  <c:v>1297</c:v>
                </c:pt>
                <c:pt idx="51">
                  <c:v>1185</c:v>
                </c:pt>
                <c:pt idx="52">
                  <c:v>1275</c:v>
                </c:pt>
                <c:pt idx="53">
                  <c:v>1228</c:v>
                </c:pt>
                <c:pt idx="54">
                  <c:v>1257</c:v>
                </c:pt>
                <c:pt idx="55">
                  <c:v>1240</c:v>
                </c:pt>
                <c:pt idx="56">
                  <c:v>1247</c:v>
                </c:pt>
                <c:pt idx="57">
                  <c:v>1143</c:v>
                </c:pt>
                <c:pt idx="58">
                  <c:v>1138</c:v>
                </c:pt>
                <c:pt idx="59">
                  <c:v>1069</c:v>
                </c:pt>
                <c:pt idx="60">
                  <c:v>1149</c:v>
                </c:pt>
                <c:pt idx="61">
                  <c:v>1024</c:v>
                </c:pt>
                <c:pt idx="62">
                  <c:v>1249</c:v>
                </c:pt>
                <c:pt idx="63">
                  <c:v>1098</c:v>
                </c:pt>
                <c:pt idx="64">
                  <c:v>1036</c:v>
                </c:pt>
                <c:pt idx="65">
                  <c:v>990</c:v>
                </c:pt>
                <c:pt idx="66">
                  <c:v>939</c:v>
                </c:pt>
                <c:pt idx="67">
                  <c:v>952</c:v>
                </c:pt>
                <c:pt idx="68">
                  <c:v>922</c:v>
                </c:pt>
                <c:pt idx="69">
                  <c:v>1214</c:v>
                </c:pt>
                <c:pt idx="70">
                  <c:v>1039</c:v>
                </c:pt>
                <c:pt idx="71">
                  <c:v>860</c:v>
                </c:pt>
                <c:pt idx="72">
                  <c:v>931</c:v>
                </c:pt>
                <c:pt idx="73">
                  <c:v>948</c:v>
                </c:pt>
                <c:pt idx="74">
                  <c:v>1125</c:v>
                </c:pt>
                <c:pt idx="75">
                  <c:v>879</c:v>
                </c:pt>
                <c:pt idx="76">
                  <c:v>916</c:v>
                </c:pt>
                <c:pt idx="77">
                  <c:v>943</c:v>
                </c:pt>
                <c:pt idx="78">
                  <c:v>904</c:v>
                </c:pt>
                <c:pt idx="79">
                  <c:v>749</c:v>
                </c:pt>
                <c:pt idx="80">
                  <c:v>814</c:v>
                </c:pt>
                <c:pt idx="81">
                  <c:v>789</c:v>
                </c:pt>
                <c:pt idx="82">
                  <c:v>999</c:v>
                </c:pt>
                <c:pt idx="83">
                  <c:v>956</c:v>
                </c:pt>
                <c:pt idx="84">
                  <c:v>883</c:v>
                </c:pt>
                <c:pt idx="85">
                  <c:v>853</c:v>
                </c:pt>
                <c:pt idx="86">
                  <c:v>729</c:v>
                </c:pt>
                <c:pt idx="87">
                  <c:v>746</c:v>
                </c:pt>
                <c:pt idx="88">
                  <c:v>1094</c:v>
                </c:pt>
                <c:pt idx="89">
                  <c:v>986</c:v>
                </c:pt>
                <c:pt idx="90">
                  <c:v>749</c:v>
                </c:pt>
                <c:pt idx="91">
                  <c:v>690</c:v>
                </c:pt>
                <c:pt idx="92">
                  <c:v>693</c:v>
                </c:pt>
                <c:pt idx="93">
                  <c:v>613</c:v>
                </c:pt>
                <c:pt idx="94">
                  <c:v>877</c:v>
                </c:pt>
                <c:pt idx="95">
                  <c:v>800</c:v>
                </c:pt>
                <c:pt idx="96">
                  <c:v>955</c:v>
                </c:pt>
                <c:pt idx="97">
                  <c:v>663</c:v>
                </c:pt>
                <c:pt idx="98">
                  <c:v>784</c:v>
                </c:pt>
                <c:pt idx="99">
                  <c:v>712</c:v>
                </c:pt>
                <c:pt idx="100">
                  <c:v>682</c:v>
                </c:pt>
                <c:pt idx="101">
                  <c:v>551</c:v>
                </c:pt>
                <c:pt idx="102">
                  <c:v>631</c:v>
                </c:pt>
                <c:pt idx="103">
                  <c:v>657</c:v>
                </c:pt>
                <c:pt idx="104">
                  <c:v>678</c:v>
                </c:pt>
                <c:pt idx="105">
                  <c:v>604</c:v>
                </c:pt>
                <c:pt idx="106">
                  <c:v>578</c:v>
                </c:pt>
                <c:pt idx="107">
                  <c:v>668</c:v>
                </c:pt>
                <c:pt idx="108">
                  <c:v>635</c:v>
                </c:pt>
                <c:pt idx="109">
                  <c:v>561</c:v>
                </c:pt>
                <c:pt idx="110">
                  <c:v>660</c:v>
                </c:pt>
                <c:pt idx="111">
                  <c:v>657</c:v>
                </c:pt>
                <c:pt idx="112">
                  <c:v>631</c:v>
                </c:pt>
                <c:pt idx="113">
                  <c:v>599</c:v>
                </c:pt>
                <c:pt idx="114">
                  <c:v>598</c:v>
                </c:pt>
                <c:pt idx="115">
                  <c:v>533</c:v>
                </c:pt>
                <c:pt idx="116">
                  <c:v>625</c:v>
                </c:pt>
                <c:pt idx="117">
                  <c:v>627</c:v>
                </c:pt>
                <c:pt idx="118">
                  <c:v>499</c:v>
                </c:pt>
                <c:pt idx="119">
                  <c:v>521</c:v>
                </c:pt>
                <c:pt idx="120">
                  <c:v>513</c:v>
                </c:pt>
                <c:pt idx="121">
                  <c:v>495</c:v>
                </c:pt>
                <c:pt idx="122">
                  <c:v>495</c:v>
                </c:pt>
                <c:pt idx="123">
                  <c:v>538</c:v>
                </c:pt>
                <c:pt idx="124">
                  <c:v>588</c:v>
                </c:pt>
                <c:pt idx="125">
                  <c:v>523</c:v>
                </c:pt>
                <c:pt idx="126">
                  <c:v>570</c:v>
                </c:pt>
                <c:pt idx="127">
                  <c:v>470</c:v>
                </c:pt>
                <c:pt idx="128">
                  <c:v>447</c:v>
                </c:pt>
                <c:pt idx="129">
                  <c:v>506</c:v>
                </c:pt>
                <c:pt idx="130">
                  <c:v>481</c:v>
                </c:pt>
                <c:pt idx="131">
                  <c:v>542</c:v>
                </c:pt>
                <c:pt idx="132">
                  <c:v>455</c:v>
                </c:pt>
                <c:pt idx="133">
                  <c:v>520</c:v>
                </c:pt>
                <c:pt idx="134">
                  <c:v>444</c:v>
                </c:pt>
                <c:pt idx="135">
                  <c:v>424</c:v>
                </c:pt>
                <c:pt idx="136">
                  <c:v>473</c:v>
                </c:pt>
                <c:pt idx="137">
                  <c:v>622</c:v>
                </c:pt>
                <c:pt idx="138">
                  <c:v>545</c:v>
                </c:pt>
                <c:pt idx="139">
                  <c:v>463</c:v>
                </c:pt>
                <c:pt idx="140">
                  <c:v>450</c:v>
                </c:pt>
                <c:pt idx="141">
                  <c:v>403</c:v>
                </c:pt>
                <c:pt idx="142">
                  <c:v>437</c:v>
                </c:pt>
                <c:pt idx="143">
                  <c:v>429</c:v>
                </c:pt>
                <c:pt idx="144">
                  <c:v>459</c:v>
                </c:pt>
                <c:pt idx="145">
                  <c:v>435</c:v>
                </c:pt>
                <c:pt idx="146">
                  <c:v>523</c:v>
                </c:pt>
                <c:pt idx="147">
                  <c:v>570</c:v>
                </c:pt>
                <c:pt idx="148">
                  <c:v>389</c:v>
                </c:pt>
                <c:pt idx="149">
                  <c:v>381</c:v>
                </c:pt>
                <c:pt idx="150">
                  <c:v>466</c:v>
                </c:pt>
                <c:pt idx="151">
                  <c:v>552</c:v>
                </c:pt>
                <c:pt idx="152">
                  <c:v>702</c:v>
                </c:pt>
                <c:pt idx="153">
                  <c:v>368</c:v>
                </c:pt>
                <c:pt idx="154">
                  <c:v>327</c:v>
                </c:pt>
                <c:pt idx="155">
                  <c:v>381</c:v>
                </c:pt>
                <c:pt idx="156">
                  <c:v>429</c:v>
                </c:pt>
                <c:pt idx="157">
                  <c:v>571</c:v>
                </c:pt>
                <c:pt idx="158">
                  <c:v>437</c:v>
                </c:pt>
                <c:pt idx="159">
                  <c:v>441</c:v>
                </c:pt>
                <c:pt idx="160">
                  <c:v>424</c:v>
                </c:pt>
                <c:pt idx="161">
                  <c:v>355</c:v>
                </c:pt>
                <c:pt idx="162">
                  <c:v>410</c:v>
                </c:pt>
                <c:pt idx="163">
                  <c:v>449</c:v>
                </c:pt>
                <c:pt idx="164">
                  <c:v>576</c:v>
                </c:pt>
                <c:pt idx="165">
                  <c:v>524</c:v>
                </c:pt>
                <c:pt idx="166">
                  <c:v>424</c:v>
                </c:pt>
                <c:pt idx="167">
                  <c:v>428</c:v>
                </c:pt>
                <c:pt idx="168">
                  <c:v>354</c:v>
                </c:pt>
                <c:pt idx="169">
                  <c:v>332</c:v>
                </c:pt>
                <c:pt idx="170">
                  <c:v>314</c:v>
                </c:pt>
                <c:pt idx="171">
                  <c:v>385</c:v>
                </c:pt>
                <c:pt idx="172">
                  <c:v>346</c:v>
                </c:pt>
                <c:pt idx="173">
                  <c:v>422</c:v>
                </c:pt>
                <c:pt idx="174">
                  <c:v>320</c:v>
                </c:pt>
                <c:pt idx="175">
                  <c:v>361</c:v>
                </c:pt>
                <c:pt idx="176">
                  <c:v>424</c:v>
                </c:pt>
                <c:pt idx="177">
                  <c:v>286</c:v>
                </c:pt>
                <c:pt idx="178">
                  <c:v>432</c:v>
                </c:pt>
                <c:pt idx="179">
                  <c:v>335</c:v>
                </c:pt>
                <c:pt idx="180">
                  <c:v>362</c:v>
                </c:pt>
                <c:pt idx="181">
                  <c:v>366</c:v>
                </c:pt>
                <c:pt idx="182">
                  <c:v>351</c:v>
                </c:pt>
                <c:pt idx="183">
                  <c:v>316</c:v>
                </c:pt>
                <c:pt idx="184">
                  <c:v>234</c:v>
                </c:pt>
                <c:pt idx="185">
                  <c:v>323</c:v>
                </c:pt>
                <c:pt idx="186">
                  <c:v>364</c:v>
                </c:pt>
                <c:pt idx="187">
                  <c:v>299</c:v>
                </c:pt>
                <c:pt idx="188">
                  <c:v>282</c:v>
                </c:pt>
                <c:pt idx="189">
                  <c:v>302</c:v>
                </c:pt>
                <c:pt idx="190">
                  <c:v>355</c:v>
                </c:pt>
                <c:pt idx="191">
                  <c:v>333</c:v>
                </c:pt>
                <c:pt idx="192">
                  <c:v>358</c:v>
                </c:pt>
                <c:pt idx="193">
                  <c:v>279</c:v>
                </c:pt>
                <c:pt idx="194">
                  <c:v>295</c:v>
                </c:pt>
                <c:pt idx="195">
                  <c:v>306</c:v>
                </c:pt>
                <c:pt idx="196">
                  <c:v>348</c:v>
                </c:pt>
                <c:pt idx="197">
                  <c:v>231</c:v>
                </c:pt>
                <c:pt idx="198">
                  <c:v>260</c:v>
                </c:pt>
                <c:pt idx="199">
                  <c:v>320</c:v>
                </c:pt>
                <c:pt idx="200">
                  <c:v>295</c:v>
                </c:pt>
                <c:pt idx="201">
                  <c:v>308</c:v>
                </c:pt>
                <c:pt idx="202">
                  <c:v>276</c:v>
                </c:pt>
                <c:pt idx="203">
                  <c:v>278</c:v>
                </c:pt>
                <c:pt idx="204">
                  <c:v>238</c:v>
                </c:pt>
                <c:pt idx="205">
                  <c:v>268</c:v>
                </c:pt>
                <c:pt idx="206">
                  <c:v>282</c:v>
                </c:pt>
                <c:pt idx="207">
                  <c:v>249</c:v>
                </c:pt>
                <c:pt idx="208">
                  <c:v>288</c:v>
                </c:pt>
                <c:pt idx="209">
                  <c:v>271</c:v>
                </c:pt>
                <c:pt idx="210">
                  <c:v>301</c:v>
                </c:pt>
                <c:pt idx="211">
                  <c:v>258</c:v>
                </c:pt>
                <c:pt idx="212">
                  <c:v>435</c:v>
                </c:pt>
                <c:pt idx="213">
                  <c:v>254</c:v>
                </c:pt>
                <c:pt idx="214">
                  <c:v>256</c:v>
                </c:pt>
                <c:pt idx="215">
                  <c:v>255</c:v>
                </c:pt>
                <c:pt idx="216">
                  <c:v>218</c:v>
                </c:pt>
                <c:pt idx="217">
                  <c:v>225</c:v>
                </c:pt>
                <c:pt idx="218">
                  <c:v>196</c:v>
                </c:pt>
                <c:pt idx="219">
                  <c:v>286</c:v>
                </c:pt>
                <c:pt idx="220">
                  <c:v>249</c:v>
                </c:pt>
                <c:pt idx="221">
                  <c:v>245</c:v>
                </c:pt>
                <c:pt idx="222">
                  <c:v>302</c:v>
                </c:pt>
                <c:pt idx="223">
                  <c:v>261</c:v>
                </c:pt>
                <c:pt idx="224">
                  <c:v>228</c:v>
                </c:pt>
                <c:pt idx="225">
                  <c:v>258</c:v>
                </c:pt>
                <c:pt idx="226">
                  <c:v>337</c:v>
                </c:pt>
                <c:pt idx="227">
                  <c:v>209</c:v>
                </c:pt>
                <c:pt idx="228">
                  <c:v>222</c:v>
                </c:pt>
                <c:pt idx="229">
                  <c:v>247</c:v>
                </c:pt>
                <c:pt idx="230">
                  <c:v>208</c:v>
                </c:pt>
                <c:pt idx="231">
                  <c:v>257</c:v>
                </c:pt>
                <c:pt idx="232">
                  <c:v>276</c:v>
                </c:pt>
                <c:pt idx="233">
                  <c:v>268</c:v>
                </c:pt>
                <c:pt idx="234">
                  <c:v>299</c:v>
                </c:pt>
                <c:pt idx="235">
                  <c:v>271</c:v>
                </c:pt>
                <c:pt idx="236">
                  <c:v>318</c:v>
                </c:pt>
                <c:pt idx="237">
                  <c:v>326</c:v>
                </c:pt>
                <c:pt idx="238">
                  <c:v>291</c:v>
                </c:pt>
                <c:pt idx="239">
                  <c:v>189</c:v>
                </c:pt>
                <c:pt idx="240">
                  <c:v>244</c:v>
                </c:pt>
                <c:pt idx="241">
                  <c:v>290</c:v>
                </c:pt>
                <c:pt idx="242">
                  <c:v>242</c:v>
                </c:pt>
                <c:pt idx="243">
                  <c:v>225</c:v>
                </c:pt>
                <c:pt idx="244">
                  <c:v>198</c:v>
                </c:pt>
                <c:pt idx="245">
                  <c:v>231</c:v>
                </c:pt>
                <c:pt idx="246">
                  <c:v>180</c:v>
                </c:pt>
                <c:pt idx="247">
                  <c:v>264</c:v>
                </c:pt>
                <c:pt idx="248">
                  <c:v>242</c:v>
                </c:pt>
                <c:pt idx="249">
                  <c:v>223</c:v>
                </c:pt>
                <c:pt idx="250">
                  <c:v>292</c:v>
                </c:pt>
                <c:pt idx="251">
                  <c:v>178</c:v>
                </c:pt>
                <c:pt idx="252">
                  <c:v>222</c:v>
                </c:pt>
                <c:pt idx="253">
                  <c:v>229</c:v>
                </c:pt>
                <c:pt idx="254">
                  <c:v>231</c:v>
                </c:pt>
                <c:pt idx="255">
                  <c:v>211</c:v>
                </c:pt>
                <c:pt idx="256">
                  <c:v>197</c:v>
                </c:pt>
                <c:pt idx="257">
                  <c:v>231</c:v>
                </c:pt>
                <c:pt idx="258">
                  <c:v>176</c:v>
                </c:pt>
                <c:pt idx="259">
                  <c:v>184</c:v>
                </c:pt>
                <c:pt idx="260">
                  <c:v>252</c:v>
                </c:pt>
                <c:pt idx="261">
                  <c:v>229</c:v>
                </c:pt>
                <c:pt idx="262">
                  <c:v>213</c:v>
                </c:pt>
                <c:pt idx="263">
                  <c:v>174</c:v>
                </c:pt>
                <c:pt idx="264">
                  <c:v>186</c:v>
                </c:pt>
                <c:pt idx="265">
                  <c:v>187</c:v>
                </c:pt>
                <c:pt idx="266">
                  <c:v>187</c:v>
                </c:pt>
                <c:pt idx="267">
                  <c:v>162</c:v>
                </c:pt>
                <c:pt idx="268">
                  <c:v>179</c:v>
                </c:pt>
                <c:pt idx="269">
                  <c:v>172</c:v>
                </c:pt>
                <c:pt idx="270">
                  <c:v>178</c:v>
                </c:pt>
                <c:pt idx="271">
                  <c:v>112</c:v>
                </c:pt>
                <c:pt idx="272">
                  <c:v>221</c:v>
                </c:pt>
                <c:pt idx="273">
                  <c:v>181</c:v>
                </c:pt>
                <c:pt idx="274">
                  <c:v>161</c:v>
                </c:pt>
                <c:pt idx="275">
                  <c:v>218</c:v>
                </c:pt>
                <c:pt idx="276">
                  <c:v>191</c:v>
                </c:pt>
                <c:pt idx="277">
                  <c:v>211</c:v>
                </c:pt>
                <c:pt idx="278">
                  <c:v>149</c:v>
                </c:pt>
                <c:pt idx="279">
                  <c:v>135</c:v>
                </c:pt>
                <c:pt idx="280">
                  <c:v>148</c:v>
                </c:pt>
                <c:pt idx="281">
                  <c:v>181</c:v>
                </c:pt>
                <c:pt idx="282">
                  <c:v>155</c:v>
                </c:pt>
                <c:pt idx="283">
                  <c:v>277</c:v>
                </c:pt>
                <c:pt idx="284">
                  <c:v>199</c:v>
                </c:pt>
                <c:pt idx="285">
                  <c:v>229</c:v>
                </c:pt>
                <c:pt idx="286">
                  <c:v>362</c:v>
                </c:pt>
                <c:pt idx="287">
                  <c:v>142</c:v>
                </c:pt>
                <c:pt idx="288">
                  <c:v>162</c:v>
                </c:pt>
                <c:pt idx="289">
                  <c:v>165</c:v>
                </c:pt>
                <c:pt idx="290">
                  <c:v>176</c:v>
                </c:pt>
                <c:pt idx="291">
                  <c:v>240</c:v>
                </c:pt>
                <c:pt idx="292">
                  <c:v>182</c:v>
                </c:pt>
                <c:pt idx="293">
                  <c:v>156</c:v>
                </c:pt>
                <c:pt idx="294">
                  <c:v>226</c:v>
                </c:pt>
                <c:pt idx="295">
                  <c:v>214</c:v>
                </c:pt>
                <c:pt idx="296">
                  <c:v>195</c:v>
                </c:pt>
                <c:pt idx="297">
                  <c:v>183</c:v>
                </c:pt>
                <c:pt idx="298">
                  <c:v>127</c:v>
                </c:pt>
                <c:pt idx="299">
                  <c:v>195</c:v>
                </c:pt>
                <c:pt idx="300">
                  <c:v>143</c:v>
                </c:pt>
                <c:pt idx="301">
                  <c:v>184</c:v>
                </c:pt>
                <c:pt idx="302">
                  <c:v>129</c:v>
                </c:pt>
                <c:pt idx="303">
                  <c:v>137</c:v>
                </c:pt>
                <c:pt idx="304">
                  <c:v>155</c:v>
                </c:pt>
                <c:pt idx="305">
                  <c:v>189</c:v>
                </c:pt>
                <c:pt idx="306">
                  <c:v>323</c:v>
                </c:pt>
                <c:pt idx="307">
                  <c:v>196</c:v>
                </c:pt>
                <c:pt idx="308">
                  <c:v>157</c:v>
                </c:pt>
                <c:pt idx="309">
                  <c:v>159</c:v>
                </c:pt>
                <c:pt idx="310">
                  <c:v>136</c:v>
                </c:pt>
                <c:pt idx="311">
                  <c:v>248</c:v>
                </c:pt>
                <c:pt idx="312">
                  <c:v>149</c:v>
                </c:pt>
                <c:pt idx="313">
                  <c:v>212</c:v>
                </c:pt>
                <c:pt idx="314">
                  <c:v>97</c:v>
                </c:pt>
                <c:pt idx="315">
                  <c:v>192</c:v>
                </c:pt>
                <c:pt idx="316">
                  <c:v>172</c:v>
                </c:pt>
                <c:pt idx="317">
                  <c:v>193</c:v>
                </c:pt>
                <c:pt idx="318">
                  <c:v>148</c:v>
                </c:pt>
                <c:pt idx="319">
                  <c:v>183</c:v>
                </c:pt>
                <c:pt idx="320">
                  <c:v>105</c:v>
                </c:pt>
                <c:pt idx="321">
                  <c:v>136</c:v>
                </c:pt>
                <c:pt idx="322">
                  <c:v>158</c:v>
                </c:pt>
                <c:pt idx="323">
                  <c:v>101</c:v>
                </c:pt>
                <c:pt idx="324">
                  <c:v>163</c:v>
                </c:pt>
                <c:pt idx="325">
                  <c:v>142</c:v>
                </c:pt>
                <c:pt idx="326">
                  <c:v>134</c:v>
                </c:pt>
                <c:pt idx="327">
                  <c:v>166</c:v>
                </c:pt>
                <c:pt idx="328">
                  <c:v>166</c:v>
                </c:pt>
                <c:pt idx="329">
                  <c:v>253</c:v>
                </c:pt>
                <c:pt idx="330">
                  <c:v>109</c:v>
                </c:pt>
                <c:pt idx="331">
                  <c:v>216</c:v>
                </c:pt>
                <c:pt idx="332">
                  <c:v>100</c:v>
                </c:pt>
                <c:pt idx="333">
                  <c:v>115</c:v>
                </c:pt>
                <c:pt idx="334">
                  <c:v>167</c:v>
                </c:pt>
                <c:pt idx="335">
                  <c:v>167</c:v>
                </c:pt>
                <c:pt idx="336">
                  <c:v>130</c:v>
                </c:pt>
                <c:pt idx="337">
                  <c:v>109</c:v>
                </c:pt>
                <c:pt idx="338">
                  <c:v>112</c:v>
                </c:pt>
                <c:pt idx="339">
                  <c:v>112</c:v>
                </c:pt>
                <c:pt idx="340">
                  <c:v>113</c:v>
                </c:pt>
                <c:pt idx="341">
                  <c:v>80</c:v>
                </c:pt>
                <c:pt idx="342">
                  <c:v>414</c:v>
                </c:pt>
                <c:pt idx="343">
                  <c:v>105</c:v>
                </c:pt>
                <c:pt idx="344">
                  <c:v>155</c:v>
                </c:pt>
                <c:pt idx="345">
                  <c:v>199</c:v>
                </c:pt>
                <c:pt idx="346">
                  <c:v>101</c:v>
                </c:pt>
                <c:pt idx="347">
                  <c:v>130</c:v>
                </c:pt>
                <c:pt idx="348">
                  <c:v>217</c:v>
                </c:pt>
                <c:pt idx="349">
                  <c:v>143</c:v>
                </c:pt>
                <c:pt idx="350">
                  <c:v>91</c:v>
                </c:pt>
                <c:pt idx="351">
                  <c:v>107</c:v>
                </c:pt>
                <c:pt idx="352">
                  <c:v>110</c:v>
                </c:pt>
                <c:pt idx="353">
                  <c:v>111</c:v>
                </c:pt>
                <c:pt idx="354">
                  <c:v>115</c:v>
                </c:pt>
                <c:pt idx="355">
                  <c:v>123</c:v>
                </c:pt>
                <c:pt idx="356">
                  <c:v>158</c:v>
                </c:pt>
                <c:pt idx="357">
                  <c:v>72</c:v>
                </c:pt>
                <c:pt idx="358">
                  <c:v>104</c:v>
                </c:pt>
                <c:pt idx="359">
                  <c:v>130</c:v>
                </c:pt>
                <c:pt idx="360">
                  <c:v>144</c:v>
                </c:pt>
                <c:pt idx="361">
                  <c:v>101</c:v>
                </c:pt>
                <c:pt idx="362">
                  <c:v>109</c:v>
                </c:pt>
                <c:pt idx="363">
                  <c:v>125</c:v>
                </c:pt>
                <c:pt idx="364">
                  <c:v>181</c:v>
                </c:pt>
                <c:pt idx="365">
                  <c:v>132</c:v>
                </c:pt>
              </c:numCache>
            </c:numRef>
          </c:val>
        </c:ser>
        <c:dLbls>
          <c:showLegendKey val="0"/>
          <c:showVal val="0"/>
          <c:showCatName val="0"/>
          <c:showSerName val="0"/>
          <c:showPercent val="0"/>
          <c:showBubbleSize val="0"/>
        </c:dLbls>
        <c:gapWidth val="150"/>
        <c:axId val="217541248"/>
        <c:axId val="217559424"/>
      </c:barChart>
      <c:catAx>
        <c:axId val="217541248"/>
        <c:scaling>
          <c:orientation val="minMax"/>
        </c:scaling>
        <c:delete val="0"/>
        <c:axPos val="b"/>
        <c:numFmt formatCode="General" sourceLinked="1"/>
        <c:majorTickMark val="out"/>
        <c:minorTickMark val="none"/>
        <c:tickLblPos val="nextTo"/>
        <c:crossAx val="217559424"/>
        <c:crosses val="autoZero"/>
        <c:auto val="1"/>
        <c:lblAlgn val="ctr"/>
        <c:lblOffset val="50"/>
        <c:tickLblSkip val="60"/>
        <c:tickMarkSkip val="60"/>
        <c:noMultiLvlLbl val="0"/>
      </c:catAx>
      <c:valAx>
        <c:axId val="217559424"/>
        <c:scaling>
          <c:orientation val="minMax"/>
          <c:max val="3000"/>
        </c:scaling>
        <c:delete val="0"/>
        <c:axPos val="l"/>
        <c:majorGridlines/>
        <c:numFmt formatCode="General" sourceLinked="1"/>
        <c:majorTickMark val="out"/>
        <c:minorTickMark val="none"/>
        <c:tickLblPos val="nextTo"/>
        <c:txPr>
          <a:bodyPr/>
          <a:lstStyle/>
          <a:p>
            <a:pPr>
              <a:defRPr>
                <a:latin typeface="+mn-lt"/>
              </a:defRPr>
            </a:pPr>
            <a:endParaRPr lang="sv-SE"/>
          </a:p>
        </c:txPr>
        <c:crossAx val="217541248"/>
        <c:crossesAt val="1"/>
        <c:crossBetween val="between"/>
      </c:valAx>
      <c:spPr>
        <a:noFill/>
        <a:ln>
          <a:solidFill>
            <a:schemeClr val="bg1"/>
          </a:solid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38856415447215442"/>
          <c:y val="0.22374444444444444"/>
          <c:w val="0.51137318007662835"/>
          <c:h val="0.49584680134680137"/>
        </c:manualLayout>
      </c:layout>
      <c:barChart>
        <c:barDir val="bar"/>
        <c:grouping val="clustered"/>
        <c:varyColors val="0"/>
        <c:ser>
          <c:idx val="1"/>
          <c:order val="0"/>
          <c:tx>
            <c:strRef>
              <c:f>'[Diagram BMP_senaste.xlsx]Avsnitt 1'!$C$49</c:f>
              <c:strCache>
                <c:ptCount val="1"/>
                <c:pt idx="0">
                  <c:v>2018</c:v>
                </c:pt>
              </c:strCache>
            </c:strRef>
          </c:tx>
          <c:spPr>
            <a:solidFill>
              <a:srgbClr val="003C71"/>
            </a:solidFill>
          </c:spPr>
          <c:invertIfNegative val="0"/>
          <c:cat>
            <c:strRef>
              <c:f>Blad1!$A$6:$A$7</c:f>
              <c:strCache>
                <c:ptCount val="2"/>
                <c:pt idx="0">
                  <c:v>Suspects registered in the presentation year</c:v>
                </c:pt>
                <c:pt idx="1">
                  <c:v>Suspects from incoming balance</c:v>
                </c:pt>
              </c:strCache>
            </c:strRef>
          </c:cat>
          <c:val>
            <c:numRef>
              <c:f>'[Diagram BMP_senaste.xlsx]Avsnitt 1'!$C$50:$C$51</c:f>
              <c:numCache>
                <c:formatCode>#,##0</c:formatCode>
                <c:ptCount val="2"/>
                <c:pt idx="0">
                  <c:v>540699</c:v>
                </c:pt>
                <c:pt idx="1">
                  <c:v>212156</c:v>
                </c:pt>
              </c:numCache>
            </c:numRef>
          </c:val>
        </c:ser>
        <c:ser>
          <c:idx val="0"/>
          <c:order val="1"/>
          <c:tx>
            <c:strRef>
              <c:f>'[Diagram BMP_senaste.xlsx]Avsnitt 1'!$B$49</c:f>
              <c:strCache>
                <c:ptCount val="1"/>
                <c:pt idx="0">
                  <c:v>2017</c:v>
                </c:pt>
              </c:strCache>
            </c:strRef>
          </c:tx>
          <c:spPr>
            <a:solidFill>
              <a:srgbClr val="7BAFD4"/>
            </a:solidFill>
          </c:spPr>
          <c:invertIfNegative val="0"/>
          <c:cat>
            <c:strRef>
              <c:f>Blad1!$A$6:$A$7</c:f>
              <c:strCache>
                <c:ptCount val="2"/>
                <c:pt idx="0">
                  <c:v>Suspects registered in the presentation year</c:v>
                </c:pt>
                <c:pt idx="1">
                  <c:v>Suspects from incoming balance</c:v>
                </c:pt>
              </c:strCache>
            </c:strRef>
          </c:cat>
          <c:val>
            <c:numRef>
              <c:f>'[Diagram BMP_senaste.xlsx]Avsnitt 1'!$B$50:$B$51</c:f>
              <c:numCache>
                <c:formatCode>#,##0</c:formatCode>
                <c:ptCount val="2"/>
                <c:pt idx="0">
                  <c:v>522193</c:v>
                </c:pt>
                <c:pt idx="1">
                  <c:v>200393</c:v>
                </c:pt>
              </c:numCache>
            </c:numRef>
          </c:val>
        </c:ser>
        <c:dLbls>
          <c:showLegendKey val="0"/>
          <c:showVal val="0"/>
          <c:showCatName val="0"/>
          <c:showSerName val="0"/>
          <c:showPercent val="0"/>
          <c:showBubbleSize val="0"/>
        </c:dLbls>
        <c:gapWidth val="150"/>
        <c:axId val="217568384"/>
        <c:axId val="217569920"/>
      </c:barChart>
      <c:catAx>
        <c:axId val="217568384"/>
        <c:scaling>
          <c:orientation val="maxMin"/>
        </c:scaling>
        <c:delete val="0"/>
        <c:axPos val="l"/>
        <c:numFmt formatCode="General" sourceLinked="1"/>
        <c:majorTickMark val="out"/>
        <c:minorTickMark val="none"/>
        <c:tickLblPos val="nextTo"/>
        <c:txPr>
          <a:bodyPr/>
          <a:lstStyle/>
          <a:p>
            <a:pPr>
              <a:defRPr sz="900"/>
            </a:pPr>
            <a:endParaRPr lang="sv-SE"/>
          </a:p>
        </c:txPr>
        <c:crossAx val="217569920"/>
        <c:crosses val="autoZero"/>
        <c:auto val="1"/>
        <c:lblAlgn val="ctr"/>
        <c:lblOffset val="10"/>
        <c:noMultiLvlLbl val="0"/>
      </c:catAx>
      <c:valAx>
        <c:axId val="217569920"/>
        <c:scaling>
          <c:orientation val="minMax"/>
        </c:scaling>
        <c:delete val="0"/>
        <c:axPos val="t"/>
        <c:majorGridlines/>
        <c:numFmt formatCode="#,##0" sourceLinked="1"/>
        <c:majorTickMark val="out"/>
        <c:minorTickMark val="none"/>
        <c:tickLblPos val="low"/>
        <c:txPr>
          <a:bodyPr/>
          <a:lstStyle/>
          <a:p>
            <a:pPr>
              <a:defRPr sz="900"/>
            </a:pPr>
            <a:endParaRPr lang="sv-SE"/>
          </a:p>
        </c:txPr>
        <c:crossAx val="217568384"/>
        <c:crosses val="autoZero"/>
        <c:crossBetween val="between"/>
        <c:majorUnit val="300000"/>
      </c:valAx>
      <c:spPr>
        <a:ln>
          <a:solidFill>
            <a:schemeClr val="bg1">
              <a:lumMod val="50000"/>
            </a:schemeClr>
          </a:solidFill>
        </a:ln>
      </c:spPr>
    </c:plotArea>
    <c:legend>
      <c:legendPos val="b"/>
      <c:overlay val="0"/>
      <c:txPr>
        <a:bodyPr/>
        <a:lstStyle/>
        <a:p>
          <a:pPr>
            <a:defRPr sz="900"/>
          </a:pPr>
          <a:endParaRPr lang="sv-SE"/>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Blad1!$A$21</c:f>
              <c:strCache>
                <c:ptCount val="1"/>
                <c:pt idx="0">
                  <c:v>Investigation initiated</c:v>
                </c:pt>
              </c:strCache>
            </c:strRef>
          </c:tx>
          <c:spPr>
            <a:ln>
              <a:solidFill>
                <a:schemeClr val="tx2"/>
              </a:solidFill>
            </a:ln>
          </c:spPr>
          <c:marker>
            <c:symbol val="circle"/>
            <c:size val="5"/>
            <c:spPr>
              <a:solidFill>
                <a:schemeClr val="tx2"/>
              </a:solidFill>
              <a:ln>
                <a:solidFill>
                  <a:schemeClr val="tx2"/>
                </a:solidFill>
              </a:ln>
            </c:spPr>
          </c:marker>
          <c:cat>
            <c:numRef>
              <c:f>'[Diagram BMP_senaste.xlsx]Avsnitt 2'!$B$7:$D$7</c:f>
              <c:numCache>
                <c:formatCode>General</c:formatCode>
                <c:ptCount val="3"/>
                <c:pt idx="0">
                  <c:v>2016</c:v>
                </c:pt>
                <c:pt idx="1">
                  <c:v>2017</c:v>
                </c:pt>
                <c:pt idx="2">
                  <c:v>2018</c:v>
                </c:pt>
              </c:numCache>
            </c:numRef>
          </c:cat>
          <c:val>
            <c:numRef>
              <c:f>'[Diagram BMP_senaste.xlsx]Avsnitt 2'!$B$8:$D$8</c:f>
              <c:numCache>
                <c:formatCode>#,##0</c:formatCode>
                <c:ptCount val="3"/>
                <c:pt idx="0">
                  <c:v>512990</c:v>
                </c:pt>
                <c:pt idx="1">
                  <c:v>521041</c:v>
                </c:pt>
                <c:pt idx="2">
                  <c:v>541344</c:v>
                </c:pt>
              </c:numCache>
            </c:numRef>
          </c:val>
          <c:smooth val="0"/>
        </c:ser>
        <c:dLbls>
          <c:showLegendKey val="0"/>
          <c:showVal val="0"/>
          <c:showCatName val="0"/>
          <c:showSerName val="0"/>
          <c:showPercent val="0"/>
          <c:showBubbleSize val="0"/>
        </c:dLbls>
        <c:marker val="1"/>
        <c:smooth val="0"/>
        <c:axId val="219043712"/>
        <c:axId val="219045888"/>
      </c:lineChart>
      <c:catAx>
        <c:axId val="219043712"/>
        <c:scaling>
          <c:orientation val="minMax"/>
        </c:scaling>
        <c:delete val="0"/>
        <c:axPos val="b"/>
        <c:numFmt formatCode="General" sourceLinked="1"/>
        <c:majorTickMark val="out"/>
        <c:minorTickMark val="none"/>
        <c:tickLblPos val="nextTo"/>
        <c:crossAx val="219045888"/>
        <c:crosses val="autoZero"/>
        <c:auto val="1"/>
        <c:lblAlgn val="ctr"/>
        <c:lblOffset val="100"/>
        <c:noMultiLvlLbl val="0"/>
      </c:catAx>
      <c:valAx>
        <c:axId val="219045888"/>
        <c:scaling>
          <c:orientation val="minMax"/>
          <c:max val="600000"/>
          <c:min val="0"/>
        </c:scaling>
        <c:delete val="0"/>
        <c:axPos val="l"/>
        <c:majorGridlines/>
        <c:numFmt formatCode="#,##0" sourceLinked="1"/>
        <c:majorTickMark val="out"/>
        <c:minorTickMark val="none"/>
        <c:tickLblPos val="nextTo"/>
        <c:txPr>
          <a:bodyPr/>
          <a:lstStyle/>
          <a:p>
            <a:pPr>
              <a:defRPr sz="900"/>
            </a:pPr>
            <a:endParaRPr lang="sv-SE"/>
          </a:p>
        </c:txPr>
        <c:crossAx val="219043712"/>
        <c:crosses val="autoZero"/>
        <c:crossBetween val="between"/>
        <c:majorUnit val="100000"/>
      </c:valAx>
    </c:plotArea>
    <c:legend>
      <c:legendPos val="r"/>
      <c:overlay val="0"/>
      <c:txPr>
        <a:bodyPr/>
        <a:lstStyle/>
        <a:p>
          <a:pPr>
            <a:defRPr sz="900"/>
          </a:pPr>
          <a:endParaRPr lang="sv-SE"/>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Blad1!$A$41</c:f>
              <c:strCache>
                <c:ptCount val="1"/>
                <c:pt idx="0">
                  <c:v>Final balance</c:v>
                </c:pt>
              </c:strCache>
            </c:strRef>
          </c:tx>
          <c:spPr>
            <a:ln>
              <a:solidFill>
                <a:schemeClr val="tx2"/>
              </a:solidFill>
            </a:ln>
          </c:spPr>
          <c:marker>
            <c:symbol val="circle"/>
            <c:size val="5"/>
            <c:spPr>
              <a:solidFill>
                <a:schemeClr val="tx2"/>
              </a:solidFill>
              <a:ln>
                <a:solidFill>
                  <a:schemeClr val="tx2"/>
                </a:solidFill>
              </a:ln>
            </c:spPr>
          </c:marker>
          <c:cat>
            <c:numRef>
              <c:f>'L:\FUR\FUR-team\BMP-Produktion 2019\Arbetsmapp 2018-2019\Fredrik\[Diagram BMP_senaste.xlsx]Avsnitt 3'!$B$33:$D$33</c:f>
              <c:numCache>
                <c:formatCode>General</c:formatCode>
                <c:ptCount val="3"/>
                <c:pt idx="0">
                  <c:v>2016</c:v>
                </c:pt>
                <c:pt idx="1">
                  <c:v>2017</c:v>
                </c:pt>
                <c:pt idx="2">
                  <c:v>2018</c:v>
                </c:pt>
              </c:numCache>
            </c:numRef>
          </c:cat>
          <c:val>
            <c:numRef>
              <c:f>'L:\FUR\FUR-team\BMP-Produktion 2019\Arbetsmapp 2018-2019\Fredrik\[Diagram BMP_senaste.xlsx]Avsnitt 3'!$B$34:$D$34</c:f>
              <c:numCache>
                <c:formatCode>General</c:formatCode>
                <c:ptCount val="3"/>
                <c:pt idx="0">
                  <c:v>209924</c:v>
                </c:pt>
                <c:pt idx="1">
                  <c:v>218268</c:v>
                </c:pt>
                <c:pt idx="2">
                  <c:v>227388</c:v>
                </c:pt>
              </c:numCache>
            </c:numRef>
          </c:val>
          <c:smooth val="0"/>
        </c:ser>
        <c:dLbls>
          <c:showLegendKey val="0"/>
          <c:showVal val="0"/>
          <c:showCatName val="0"/>
          <c:showSerName val="0"/>
          <c:showPercent val="0"/>
          <c:showBubbleSize val="0"/>
        </c:dLbls>
        <c:marker val="1"/>
        <c:smooth val="0"/>
        <c:axId val="219053056"/>
        <c:axId val="222950528"/>
      </c:lineChart>
      <c:catAx>
        <c:axId val="219053056"/>
        <c:scaling>
          <c:orientation val="minMax"/>
        </c:scaling>
        <c:delete val="0"/>
        <c:axPos val="b"/>
        <c:numFmt formatCode="General" sourceLinked="1"/>
        <c:majorTickMark val="out"/>
        <c:minorTickMark val="none"/>
        <c:tickLblPos val="nextTo"/>
        <c:crossAx val="222950528"/>
        <c:crosses val="autoZero"/>
        <c:auto val="1"/>
        <c:lblAlgn val="ctr"/>
        <c:lblOffset val="100"/>
        <c:noMultiLvlLbl val="0"/>
      </c:catAx>
      <c:valAx>
        <c:axId val="222950528"/>
        <c:scaling>
          <c:orientation val="minMax"/>
          <c:max val="250000"/>
          <c:min val="0"/>
        </c:scaling>
        <c:delete val="0"/>
        <c:axPos val="l"/>
        <c:majorGridlines/>
        <c:numFmt formatCode="#,##0" sourceLinked="0"/>
        <c:majorTickMark val="out"/>
        <c:minorTickMark val="none"/>
        <c:tickLblPos val="nextTo"/>
        <c:txPr>
          <a:bodyPr/>
          <a:lstStyle/>
          <a:p>
            <a:pPr>
              <a:defRPr sz="900"/>
            </a:pPr>
            <a:endParaRPr lang="sv-SE"/>
          </a:p>
        </c:txPr>
        <c:crossAx val="219053056"/>
        <c:crosses val="autoZero"/>
        <c:crossBetween val="between"/>
        <c:majorUnit val="50000"/>
        <c:minorUnit val="2.0000000000000004E-2"/>
      </c:valAx>
    </c:plotArea>
    <c:legend>
      <c:legendPos val="r"/>
      <c:overlay val="0"/>
      <c:txPr>
        <a:bodyPr/>
        <a:lstStyle/>
        <a:p>
          <a:pPr>
            <a:defRPr sz="900"/>
          </a:pPr>
          <a:endParaRPr lang="sv-SE"/>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6E1A-447E-4790-983C-58A3DDB4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5447</Words>
  <Characters>28872</Characters>
  <Application>Microsoft Office Word</Application>
  <DocSecurity>0</DocSecurity>
  <Lines>240</Lines>
  <Paragraphs>68</Paragraphs>
  <ScaleCrop>false</ScaleCrop>
  <HeadingPairs>
    <vt:vector size="8" baseType="variant">
      <vt:variant>
        <vt:lpstr>Rubrik</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Fredrik Granström</cp:lastModifiedBy>
  <cp:revision>2</cp:revision>
  <cp:lastPrinted>2019-06-20T07:56:00Z</cp:lastPrinted>
  <dcterms:created xsi:type="dcterms:W3CDTF">2019-06-26T08:43:00Z</dcterms:created>
  <dcterms:modified xsi:type="dcterms:W3CDTF">2019-06-26T08:43:00Z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